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59645">
      <w:pPr>
        <w:spacing w:line="100" w:lineRule="exact"/>
        <w:jc w:val="center"/>
        <w:rPr>
          <w:color w:val="000000"/>
          <w:sz w:val="36"/>
          <w:szCs w:val="36"/>
        </w:rPr>
      </w:pPr>
      <w:bookmarkStart w:id="0" w:name="_Toc530473016"/>
    </w:p>
    <w:bookmarkEnd w:id="0"/>
    <w:p w14:paraId="6FB17B0B">
      <w:pPr>
        <w:spacing w:line="740" w:lineRule="exact"/>
        <w:jc w:val="center"/>
        <w:outlineLvl w:val="2"/>
        <w:rPr>
          <w:rFonts w:eastAsia="黑体"/>
          <w:color w:val="000000"/>
          <w:sz w:val="32"/>
          <w:szCs w:val="32"/>
        </w:rPr>
      </w:pPr>
      <w:bookmarkStart w:id="1" w:name="_Toc1099067205"/>
      <w:bookmarkStart w:id="2" w:name="_Toc2131911538"/>
      <w:bookmarkStart w:id="3" w:name="_Toc357348418"/>
      <w:bookmarkStart w:id="4" w:name="_Toc1550903188"/>
      <w:bookmarkStart w:id="5" w:name="_Toc2124023149"/>
      <w:bookmarkStart w:id="6" w:name="_Toc175603519"/>
      <w:bookmarkStart w:id="7" w:name="_Toc1423068732"/>
      <w:bookmarkStart w:id="8" w:name="_Toc1827832502"/>
      <w:r>
        <w:rPr>
          <w:rFonts w:hint="eastAsia" w:eastAsia="黑体"/>
          <w:color w:val="000000"/>
          <w:sz w:val="32"/>
          <w:szCs w:val="32"/>
        </w:rPr>
        <w:t>2025年度</w:t>
      </w:r>
      <w:r>
        <w:rPr>
          <w:rFonts w:eastAsia="黑体"/>
          <w:color w:val="000000"/>
          <w:sz w:val="32"/>
          <w:szCs w:val="32"/>
        </w:rPr>
        <w:t>海南省科学技术奖提名公示内容</w:t>
      </w:r>
      <w:bookmarkEnd w:id="1"/>
      <w:bookmarkEnd w:id="2"/>
      <w:bookmarkEnd w:id="3"/>
      <w:bookmarkEnd w:id="4"/>
      <w:bookmarkEnd w:id="5"/>
      <w:bookmarkEnd w:id="6"/>
      <w:bookmarkEnd w:id="7"/>
      <w:bookmarkEnd w:id="8"/>
    </w:p>
    <w:p w14:paraId="4012E88F">
      <w:pPr>
        <w:spacing w:line="100" w:lineRule="exact"/>
        <w:jc w:val="center"/>
        <w:rPr>
          <w:rFonts w:eastAsia="仿宋_GB2312"/>
          <w:color w:val="000000"/>
          <w:sz w:val="32"/>
          <w:szCs w:val="32"/>
        </w:rPr>
      </w:pPr>
    </w:p>
    <w:p w14:paraId="5F943975">
      <w:pPr>
        <w:spacing w:line="440" w:lineRule="exact"/>
        <w:jc w:val="center"/>
        <w:rPr>
          <w:rFonts w:hint="eastAsia" w:ascii="宋体" w:hAnsi="宋体" w:cs="宋体"/>
          <w:szCs w:val="24"/>
        </w:rPr>
      </w:pPr>
      <w:r>
        <w:rPr>
          <w:rFonts w:hint="eastAsia" w:ascii="宋体" w:hAnsi="宋体" w:cs="宋体"/>
          <w:szCs w:val="24"/>
        </w:rPr>
        <w:t>（适用于项目主要完成单位、主要完成人所在单位）</w:t>
      </w:r>
    </w:p>
    <w:p w14:paraId="20DC75AD">
      <w:pPr>
        <w:pStyle w:val="2"/>
        <w:rPr>
          <w:rFonts w:hint="eastAsia"/>
        </w:rPr>
      </w:pPr>
    </w:p>
    <w:tbl>
      <w:tblPr>
        <w:tblStyle w:val="18"/>
        <w:tblW w:w="94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169"/>
      </w:tblGrid>
      <w:tr w14:paraId="76A4D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jc w:val="center"/>
        </w:trPr>
        <w:tc>
          <w:tcPr>
            <w:tcW w:w="2269" w:type="dxa"/>
            <w:vAlign w:val="center"/>
          </w:tcPr>
          <w:p w14:paraId="4C9468B4">
            <w:pPr>
              <w:jc w:val="center"/>
              <w:rPr>
                <w:rStyle w:val="25"/>
                <w:color w:val="auto"/>
              </w:rPr>
            </w:pPr>
            <w:r>
              <w:rPr>
                <w:rStyle w:val="25"/>
                <w:color w:val="auto"/>
              </w:rPr>
              <w:t>项目名称</w:t>
            </w:r>
          </w:p>
        </w:tc>
        <w:tc>
          <w:tcPr>
            <w:tcW w:w="7169" w:type="dxa"/>
            <w:vAlign w:val="center"/>
          </w:tcPr>
          <w:p w14:paraId="0788E58B">
            <w:pPr>
              <w:contextualSpacing/>
              <w:jc w:val="left"/>
              <w:rPr>
                <w:bCs/>
                <w:sz w:val="24"/>
                <w:szCs w:val="32"/>
              </w:rPr>
            </w:pPr>
            <w:r>
              <w:rPr>
                <w:bCs/>
                <w:sz w:val="24"/>
                <w:szCs w:val="32"/>
              </w:rPr>
              <w:t>二维半导体材料表界面结构调控及人工光合作用关键技术与应用</w:t>
            </w:r>
          </w:p>
        </w:tc>
      </w:tr>
      <w:tr w14:paraId="30F2A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atLeast"/>
          <w:jc w:val="center"/>
        </w:trPr>
        <w:tc>
          <w:tcPr>
            <w:tcW w:w="2269" w:type="dxa"/>
            <w:vAlign w:val="center"/>
          </w:tcPr>
          <w:p w14:paraId="5A5AC7D6">
            <w:pPr>
              <w:jc w:val="center"/>
              <w:rPr>
                <w:rStyle w:val="25"/>
                <w:color w:val="auto"/>
              </w:rPr>
            </w:pPr>
            <w:r>
              <w:rPr>
                <w:rStyle w:val="25"/>
                <w:color w:val="auto"/>
              </w:rPr>
              <w:t>提名奖项及等级</w:t>
            </w:r>
          </w:p>
        </w:tc>
        <w:tc>
          <w:tcPr>
            <w:tcW w:w="7169" w:type="dxa"/>
            <w:vAlign w:val="center"/>
          </w:tcPr>
          <w:p w14:paraId="2E0E8BDD">
            <w:pPr>
              <w:jc w:val="center"/>
              <w:rPr>
                <w:rStyle w:val="25"/>
                <w:b w:val="0"/>
                <w:color w:val="auto"/>
              </w:rPr>
            </w:pPr>
            <w:r>
              <w:rPr>
                <w:rStyle w:val="25"/>
                <w:b w:val="0"/>
                <w:color w:val="auto"/>
              </w:rPr>
              <w:t>海南省科学技术进步奖</w:t>
            </w:r>
            <w:r>
              <w:rPr>
                <w:rStyle w:val="25"/>
                <w:rFonts w:hint="eastAsia"/>
                <w:b w:val="0"/>
                <w:color w:val="auto"/>
              </w:rPr>
              <w:t>/</w:t>
            </w:r>
            <w:r>
              <w:rPr>
                <w:rStyle w:val="25"/>
                <w:b w:val="0"/>
                <w:color w:val="auto"/>
              </w:rPr>
              <w:t>二等奖</w:t>
            </w:r>
          </w:p>
        </w:tc>
      </w:tr>
      <w:tr w14:paraId="3A8E4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8" w:hRule="atLeast"/>
          <w:jc w:val="center"/>
        </w:trPr>
        <w:tc>
          <w:tcPr>
            <w:tcW w:w="2269" w:type="dxa"/>
            <w:vAlign w:val="center"/>
          </w:tcPr>
          <w:p w14:paraId="7C24BB01">
            <w:pPr>
              <w:jc w:val="center"/>
              <w:rPr>
                <w:b/>
                <w:bCs/>
                <w:sz w:val="24"/>
                <w:szCs w:val="24"/>
                <w:lang w:val="en"/>
              </w:rPr>
            </w:pPr>
            <w:r>
              <w:rPr>
                <w:rStyle w:val="25"/>
                <w:color w:val="auto"/>
              </w:rPr>
              <w:t>提名者</w:t>
            </w:r>
          </w:p>
        </w:tc>
        <w:tc>
          <w:tcPr>
            <w:tcW w:w="7169" w:type="dxa"/>
            <w:vAlign w:val="center"/>
          </w:tcPr>
          <w:p w14:paraId="203B7C56">
            <w:pPr>
              <w:contextualSpacing/>
              <w:jc w:val="center"/>
              <w:rPr>
                <w:rFonts w:hint="default" w:eastAsia="宋体"/>
                <w:bCs/>
                <w:sz w:val="24"/>
                <w:szCs w:val="24"/>
                <w:lang w:val="en-US" w:eastAsia="zh-CN"/>
              </w:rPr>
            </w:pPr>
            <w:r>
              <w:rPr>
                <w:rFonts w:hint="eastAsia"/>
                <w:bCs/>
                <w:sz w:val="24"/>
                <w:szCs w:val="24"/>
                <w:lang w:val="en-US" w:eastAsia="zh-CN"/>
              </w:rPr>
              <w:t>海南省</w:t>
            </w:r>
            <w:bookmarkStart w:id="9" w:name="_GoBack"/>
            <w:bookmarkEnd w:id="9"/>
            <w:r>
              <w:rPr>
                <w:rFonts w:hint="eastAsia"/>
                <w:bCs/>
                <w:sz w:val="24"/>
                <w:szCs w:val="24"/>
                <w:lang w:val="en-US" w:eastAsia="zh-CN"/>
              </w:rPr>
              <w:t>科学技术协会</w:t>
            </w:r>
          </w:p>
        </w:tc>
      </w:tr>
      <w:tr w14:paraId="75BF92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7" w:hRule="atLeast"/>
          <w:jc w:val="center"/>
        </w:trPr>
        <w:tc>
          <w:tcPr>
            <w:tcW w:w="2269" w:type="dxa"/>
            <w:tcBorders>
              <w:right w:val="single" w:color="auto" w:sz="4" w:space="0"/>
            </w:tcBorders>
            <w:vAlign w:val="center"/>
          </w:tcPr>
          <w:p w14:paraId="243BF540">
            <w:pPr>
              <w:spacing w:line="440" w:lineRule="exact"/>
              <w:jc w:val="center"/>
              <w:rPr>
                <w:b/>
                <w:bCs/>
                <w:sz w:val="24"/>
                <w:szCs w:val="24"/>
              </w:rPr>
            </w:pPr>
            <w:r>
              <w:rPr>
                <w:b/>
                <w:bCs/>
                <w:sz w:val="24"/>
                <w:szCs w:val="24"/>
              </w:rPr>
              <w:t>项目简介（1200字以内）</w:t>
            </w:r>
          </w:p>
        </w:tc>
        <w:tc>
          <w:tcPr>
            <w:tcW w:w="7169" w:type="dxa"/>
            <w:tcBorders>
              <w:left w:val="single" w:color="auto" w:sz="4" w:space="0"/>
            </w:tcBorders>
            <w:vAlign w:val="center"/>
          </w:tcPr>
          <w:p w14:paraId="2B464D91">
            <w:pPr>
              <w:pStyle w:val="2"/>
              <w:spacing w:after="0" w:line="440" w:lineRule="exact"/>
              <w:ind w:firstLine="480" w:firstLineChars="200"/>
              <w:rPr>
                <w:sz w:val="24"/>
                <w:szCs w:val="24"/>
              </w:rPr>
            </w:pPr>
            <w:r>
              <w:rPr>
                <w:rFonts w:hint="eastAsia"/>
                <w:sz w:val="24"/>
                <w:szCs w:val="24"/>
              </w:rPr>
              <w:t>半导体光催化技术通过利用太阳光来驱动一系列重要的化学反应，在解决能源短缺和环境污染等问</w:t>
            </w:r>
            <w:r>
              <w:rPr>
                <w:sz w:val="24"/>
                <w:szCs w:val="24"/>
              </w:rPr>
              <w:t>题方面具有重要的应用前景。当前国际光催化领域的研究前沿是设计开发廉价、稳定、具有高可见光利用率、高量子效率的新型光催化剂</w:t>
            </w:r>
            <w:r>
              <w:rPr>
                <w:rFonts w:hint="eastAsia"/>
                <w:sz w:val="24"/>
                <w:szCs w:val="24"/>
              </w:rPr>
              <w:t>，同时配套构建</w:t>
            </w:r>
            <w:r>
              <w:rPr>
                <w:sz w:val="24"/>
                <w:szCs w:val="24"/>
              </w:rPr>
              <w:t>透光率高、耐高温高压、无放大效应</w:t>
            </w:r>
            <w:r>
              <w:rPr>
                <w:rFonts w:hint="eastAsia"/>
                <w:sz w:val="24"/>
                <w:szCs w:val="24"/>
              </w:rPr>
              <w:t>的</w:t>
            </w:r>
            <w:r>
              <w:rPr>
                <w:sz w:val="24"/>
                <w:szCs w:val="24"/>
              </w:rPr>
              <w:t>高通量连续流光反应器。本项目在国家自然科学基金、海南省科技计划重点研发项目等的持续支持下，针对光催化领域</w:t>
            </w:r>
            <w:r>
              <w:rPr>
                <w:rFonts w:hint="eastAsia"/>
                <w:sz w:val="24"/>
                <w:szCs w:val="24"/>
              </w:rPr>
              <w:t>催化剂</w:t>
            </w:r>
            <w:r>
              <w:rPr>
                <w:sz w:val="24"/>
                <w:szCs w:val="24"/>
              </w:rPr>
              <w:t>光吸收</w:t>
            </w:r>
            <w:r>
              <w:rPr>
                <w:rFonts w:hint="eastAsia"/>
                <w:sz w:val="24"/>
                <w:szCs w:val="24"/>
              </w:rPr>
              <w:t>能力弱</w:t>
            </w:r>
            <w:r>
              <w:rPr>
                <w:sz w:val="24"/>
                <w:szCs w:val="24"/>
              </w:rPr>
              <w:t>、电荷分离</w:t>
            </w:r>
            <w:r>
              <w:rPr>
                <w:rFonts w:hint="eastAsia"/>
                <w:sz w:val="24"/>
                <w:szCs w:val="24"/>
              </w:rPr>
              <w:t>效率低、</w:t>
            </w:r>
            <w:r>
              <w:rPr>
                <w:sz w:val="24"/>
                <w:szCs w:val="24"/>
              </w:rPr>
              <w:t>表面反应</w:t>
            </w:r>
            <w:r>
              <w:rPr>
                <w:rFonts w:hint="eastAsia"/>
                <w:sz w:val="24"/>
                <w:szCs w:val="24"/>
              </w:rPr>
              <w:t>迟滞以及光催化反应器传质效率低、放大效应明显等</w:t>
            </w:r>
            <w:r>
              <w:rPr>
                <w:sz w:val="24"/>
                <w:szCs w:val="24"/>
              </w:rPr>
              <w:t>关键科学问题，开发新型高性能光催化剂</w:t>
            </w:r>
            <w:r>
              <w:rPr>
                <w:rFonts w:hint="eastAsia"/>
                <w:sz w:val="24"/>
                <w:szCs w:val="24"/>
              </w:rPr>
              <w:t>，阐明</w:t>
            </w:r>
            <w:r>
              <w:rPr>
                <w:sz w:val="24"/>
                <w:szCs w:val="24"/>
              </w:rPr>
              <w:t>催化剂组成-结构-性能</w:t>
            </w:r>
            <w:r>
              <w:rPr>
                <w:rFonts w:hint="eastAsia"/>
                <w:sz w:val="24"/>
                <w:szCs w:val="24"/>
              </w:rPr>
              <w:t>影响规律，并实现催化剂宏量制备，同时开发新型规模化高通量</w:t>
            </w:r>
            <w:r>
              <w:rPr>
                <w:sz w:val="24"/>
                <w:szCs w:val="24"/>
              </w:rPr>
              <w:t>连续流光反应器</w:t>
            </w:r>
            <w:r>
              <w:rPr>
                <w:rFonts w:hint="eastAsia"/>
                <w:sz w:val="24"/>
                <w:szCs w:val="24"/>
              </w:rPr>
              <w:t>，实现光催化性能的显著提升。</w:t>
            </w:r>
            <w:r>
              <w:rPr>
                <w:sz w:val="24"/>
                <w:szCs w:val="24"/>
              </w:rPr>
              <w:t>其研究结果对促进我国</w:t>
            </w:r>
            <w:r>
              <w:rPr>
                <w:rFonts w:hint="eastAsia"/>
                <w:sz w:val="24"/>
                <w:szCs w:val="24"/>
              </w:rPr>
              <w:t>“双碳”战略目标的实现及光催化技术产业化应用具有重要意义。</w:t>
            </w:r>
            <w:r>
              <w:rPr>
                <w:sz w:val="24"/>
                <w:szCs w:val="24"/>
              </w:rPr>
              <w:t>取得的</w:t>
            </w:r>
            <w:r>
              <w:rPr>
                <w:rFonts w:hint="eastAsia"/>
                <w:sz w:val="24"/>
                <w:szCs w:val="24"/>
              </w:rPr>
              <w:t>主要科学发现点</w:t>
            </w:r>
            <w:r>
              <w:rPr>
                <w:sz w:val="24"/>
                <w:szCs w:val="24"/>
              </w:rPr>
              <w:t>如下</w:t>
            </w:r>
            <w:r>
              <w:rPr>
                <w:rFonts w:hint="eastAsia"/>
                <w:sz w:val="24"/>
                <w:szCs w:val="24"/>
              </w:rPr>
              <w:t>：</w:t>
            </w:r>
          </w:p>
          <w:p w14:paraId="431A7B88">
            <w:pPr>
              <w:pStyle w:val="2"/>
              <w:spacing w:after="0" w:line="440" w:lineRule="exact"/>
              <w:ind w:firstLine="482" w:firstLineChars="200"/>
              <w:rPr>
                <w:sz w:val="24"/>
                <w:szCs w:val="24"/>
              </w:rPr>
            </w:pPr>
            <w:r>
              <w:rPr>
                <w:rFonts w:hint="eastAsia"/>
                <w:b/>
                <w:bCs/>
                <w:sz w:val="24"/>
                <w:szCs w:val="24"/>
              </w:rPr>
              <w:t>主要科学发现点一：</w:t>
            </w:r>
            <w:r>
              <w:rPr>
                <w:rFonts w:hint="eastAsia"/>
                <w:sz w:val="24"/>
                <w:szCs w:val="24"/>
              </w:rPr>
              <w:t>围绕半导体光催化剂光吸收能力弱、表面活性中心不足，导致反应过程动力学缓慢的科学问题，</w:t>
            </w:r>
            <w:r>
              <w:rPr>
                <w:sz w:val="24"/>
                <w:szCs w:val="24"/>
              </w:rPr>
              <w:t>申请人开创性地提出缺陷工程诱导类“量子阱”结构这一新概念，</w:t>
            </w:r>
            <w:r>
              <w:rPr>
                <w:rFonts w:hint="eastAsia"/>
                <w:sz w:val="24"/>
                <w:szCs w:val="24"/>
              </w:rPr>
              <w:t>分别</w:t>
            </w:r>
            <w:r>
              <w:rPr>
                <w:sz w:val="24"/>
                <w:szCs w:val="24"/>
              </w:rPr>
              <w:t>通过</w:t>
            </w:r>
            <w:r>
              <w:rPr>
                <w:rFonts w:hint="eastAsia"/>
                <w:sz w:val="24"/>
                <w:szCs w:val="24"/>
              </w:rPr>
              <w:t>二维</w:t>
            </w:r>
            <w:r>
              <w:rPr>
                <w:sz w:val="24"/>
                <w:szCs w:val="24"/>
              </w:rPr>
              <w:t>材料表面缺陷位点</w:t>
            </w:r>
            <w:r>
              <w:rPr>
                <w:rFonts w:hint="eastAsia"/>
                <w:sz w:val="24"/>
                <w:szCs w:val="24"/>
              </w:rPr>
              <w:t>和边缘不饱和悬挂键</w:t>
            </w:r>
            <w:r>
              <w:rPr>
                <w:sz w:val="24"/>
                <w:szCs w:val="24"/>
              </w:rPr>
              <w:t>的构筑，有效吸附-活化CO</w:t>
            </w:r>
            <w:r>
              <w:rPr>
                <w:sz w:val="24"/>
                <w:szCs w:val="24"/>
                <w:vertAlign w:val="subscript"/>
              </w:rPr>
              <w:t>2</w:t>
            </w:r>
            <w:r>
              <w:rPr>
                <w:sz w:val="24"/>
                <w:szCs w:val="24"/>
              </w:rPr>
              <w:t>分子的同时促进</w:t>
            </w:r>
            <w:r>
              <w:rPr>
                <w:rFonts w:hint="eastAsia"/>
                <w:sz w:val="24"/>
                <w:szCs w:val="24"/>
              </w:rPr>
              <w:t>催化剂宽光谱吸收和</w:t>
            </w:r>
            <w:r>
              <w:rPr>
                <w:sz w:val="24"/>
                <w:szCs w:val="24"/>
              </w:rPr>
              <w:t>光生载流子有效迁移和分离，从而</w:t>
            </w:r>
            <w:r>
              <w:rPr>
                <w:rFonts w:hint="eastAsia"/>
                <w:sz w:val="24"/>
                <w:szCs w:val="24"/>
              </w:rPr>
              <w:t>显著</w:t>
            </w:r>
            <w:r>
              <w:rPr>
                <w:sz w:val="24"/>
                <w:szCs w:val="24"/>
              </w:rPr>
              <w:t>提高光催化CO</w:t>
            </w:r>
            <w:r>
              <w:rPr>
                <w:sz w:val="24"/>
                <w:szCs w:val="24"/>
                <w:vertAlign w:val="subscript"/>
              </w:rPr>
              <w:t>2</w:t>
            </w:r>
            <w:r>
              <w:rPr>
                <w:sz w:val="24"/>
                <w:szCs w:val="24"/>
              </w:rPr>
              <w:t>还原性能。</w:t>
            </w:r>
          </w:p>
          <w:p w14:paraId="6A01F1A9">
            <w:pPr>
              <w:pStyle w:val="2"/>
              <w:spacing w:after="0" w:line="440" w:lineRule="exact"/>
              <w:ind w:firstLine="482" w:firstLineChars="200"/>
              <w:rPr>
                <w:sz w:val="24"/>
                <w:szCs w:val="24"/>
              </w:rPr>
            </w:pPr>
            <w:r>
              <w:rPr>
                <w:rFonts w:hint="eastAsia"/>
                <w:b/>
                <w:bCs/>
                <w:sz w:val="24"/>
                <w:szCs w:val="24"/>
              </w:rPr>
              <w:t>主要科学发现点二：</w:t>
            </w:r>
            <w:r>
              <w:rPr>
                <w:rFonts w:hint="eastAsia"/>
                <w:sz w:val="24"/>
                <w:szCs w:val="24"/>
              </w:rPr>
              <w:t>围绕光催化反应过程中</w:t>
            </w:r>
            <w:r>
              <w:rPr>
                <w:sz w:val="24"/>
                <w:szCs w:val="24"/>
              </w:rPr>
              <w:t>光生电荷在催化剂表界面分离与传输</w:t>
            </w:r>
            <w:r>
              <w:rPr>
                <w:rFonts w:hint="eastAsia"/>
                <w:sz w:val="24"/>
                <w:szCs w:val="24"/>
              </w:rPr>
              <w:t>效率低导致的反应</w:t>
            </w:r>
            <w:r>
              <w:rPr>
                <w:sz w:val="24"/>
                <w:szCs w:val="24"/>
              </w:rPr>
              <w:t>动力学</w:t>
            </w:r>
            <w:r>
              <w:rPr>
                <w:rFonts w:hint="eastAsia"/>
                <w:sz w:val="24"/>
                <w:szCs w:val="24"/>
              </w:rPr>
              <w:t>迟滞</w:t>
            </w:r>
            <w:r>
              <w:rPr>
                <w:sz w:val="24"/>
                <w:szCs w:val="24"/>
              </w:rPr>
              <w:t>难题</w:t>
            </w:r>
            <w:r>
              <w:rPr>
                <w:rFonts w:hint="eastAsia"/>
                <w:sz w:val="24"/>
                <w:szCs w:val="24"/>
              </w:rPr>
              <w:t>，通过调控二维半导体界面异质结</w:t>
            </w:r>
            <w:r>
              <w:rPr>
                <w:sz w:val="24"/>
                <w:szCs w:val="24"/>
              </w:rPr>
              <w:t>组成和结构有效实现光生电子和空穴的快速分离和传递，不仅</w:t>
            </w:r>
            <w:r>
              <w:rPr>
                <w:rFonts w:hint="eastAsia"/>
                <w:sz w:val="24"/>
                <w:szCs w:val="24"/>
              </w:rPr>
              <w:t>使光催化CO</w:t>
            </w:r>
            <w:r>
              <w:rPr>
                <w:rFonts w:hint="eastAsia"/>
                <w:sz w:val="24"/>
                <w:szCs w:val="24"/>
                <w:vertAlign w:val="subscript"/>
              </w:rPr>
              <w:t>2</w:t>
            </w:r>
            <w:r>
              <w:rPr>
                <w:rFonts w:hint="eastAsia"/>
                <w:sz w:val="24"/>
                <w:szCs w:val="24"/>
              </w:rPr>
              <w:t>还原性能的大幅度提升，而且实现了高效的光催化海水净化。</w:t>
            </w:r>
          </w:p>
          <w:p w14:paraId="599370FD">
            <w:pPr>
              <w:pStyle w:val="2"/>
              <w:spacing w:after="0" w:line="440" w:lineRule="exact"/>
              <w:ind w:firstLine="482" w:firstLineChars="200"/>
              <w:rPr>
                <w:sz w:val="24"/>
                <w:szCs w:val="24"/>
              </w:rPr>
            </w:pPr>
            <w:r>
              <w:rPr>
                <w:rFonts w:hint="eastAsia"/>
                <w:b/>
                <w:bCs/>
                <w:sz w:val="24"/>
                <w:szCs w:val="24"/>
              </w:rPr>
              <w:t>主要科学发现点三：</w:t>
            </w:r>
            <w:r>
              <w:rPr>
                <w:rFonts w:hint="eastAsia"/>
                <w:sz w:val="24"/>
                <w:szCs w:val="24"/>
              </w:rPr>
              <w:t>面向工业化应用，针对二维半导体材料宏量制备过程中化学反应规律不明、机制不清等关键科学问题，通过对传统机械法、煅烧法技术革新，实现半导体材料公斤级规模的宏量制备。项目组与中集中电(扬州)制氢设备有限公司共同研发了新型高通量连续流反应器，高效利用光能，提高CO</w:t>
            </w:r>
            <w:r>
              <w:rPr>
                <w:rFonts w:hint="eastAsia"/>
                <w:sz w:val="24"/>
                <w:szCs w:val="24"/>
                <w:vertAlign w:val="subscript"/>
              </w:rPr>
              <w:t>2</w:t>
            </w:r>
            <w:r>
              <w:rPr>
                <w:rFonts w:hint="eastAsia"/>
                <w:sz w:val="24"/>
                <w:szCs w:val="24"/>
              </w:rPr>
              <w:t>还原效率和选择性，促进碳循环；在降解有机污染物和分解水产氢方面，该反应器提供稳定条件，减少副产物和能耗，助力环境保护和绿色能源开发，推动“双碳”战略目标实现。</w:t>
            </w:r>
          </w:p>
          <w:p w14:paraId="1F4D9BDD">
            <w:pPr>
              <w:pStyle w:val="2"/>
              <w:spacing w:after="0" w:line="440" w:lineRule="exact"/>
              <w:ind w:firstLine="480" w:firstLineChars="200"/>
              <w:rPr>
                <w:bCs/>
                <w:sz w:val="24"/>
                <w:szCs w:val="24"/>
              </w:rPr>
            </w:pPr>
            <w:r>
              <w:rPr>
                <w:rFonts w:hint="eastAsia"/>
                <w:sz w:val="24"/>
                <w:szCs w:val="24"/>
              </w:rPr>
              <w:t>本项目主持完成国家自然科学基金3项、海南省应用技术研究与开发专项（省重点科技计划）1项、海南省国际科技合作专项1项等，获授权专利12件，其中发明专利9件，实用新型专利3件。发表SCI论文12篇，包括Adv. Mater.、Adv. Funct. Mater.、Appl. Catal. B: Environ.、Chem. Eng. J.等，5篇代表作总引用583次，ESI高被引论文4篇。项目成果已在中集中电(扬州)制氢设备有限公司、香港含光科技有限公司等多家企业单位成功推广应用，且成效显著。</w:t>
            </w:r>
          </w:p>
        </w:tc>
      </w:tr>
      <w:tr w14:paraId="6C20F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2269" w:type="dxa"/>
            <w:tcBorders>
              <w:right w:val="single" w:color="auto" w:sz="4" w:space="0"/>
            </w:tcBorders>
            <w:vAlign w:val="center"/>
          </w:tcPr>
          <w:p w14:paraId="0698BFF3">
            <w:pPr>
              <w:spacing w:line="440" w:lineRule="exact"/>
              <w:jc w:val="center"/>
              <w:rPr>
                <w:b/>
                <w:bCs/>
                <w:sz w:val="24"/>
                <w:szCs w:val="24"/>
              </w:rPr>
            </w:pPr>
            <w:r>
              <w:rPr>
                <w:b/>
                <w:bCs/>
                <w:sz w:val="24"/>
                <w:szCs w:val="24"/>
              </w:rPr>
              <w:t>提名书</w:t>
            </w:r>
          </w:p>
          <w:p w14:paraId="553DC7E5">
            <w:pPr>
              <w:spacing w:line="440" w:lineRule="exact"/>
              <w:jc w:val="center"/>
              <w:rPr>
                <w:b/>
                <w:bCs/>
                <w:sz w:val="24"/>
                <w:szCs w:val="24"/>
              </w:rPr>
            </w:pPr>
            <w:r>
              <w:rPr>
                <w:b/>
                <w:bCs/>
                <w:sz w:val="24"/>
                <w:szCs w:val="24"/>
              </w:rPr>
              <w:t>相关内容</w:t>
            </w:r>
          </w:p>
        </w:tc>
        <w:tc>
          <w:tcPr>
            <w:tcW w:w="7169" w:type="dxa"/>
            <w:tcBorders>
              <w:left w:val="single" w:color="auto" w:sz="4" w:space="0"/>
            </w:tcBorders>
            <w:vAlign w:val="center"/>
          </w:tcPr>
          <w:p w14:paraId="3DA28277">
            <w:pPr>
              <w:pStyle w:val="2"/>
              <w:spacing w:after="0" w:line="440" w:lineRule="exact"/>
              <w:rPr>
                <w:sz w:val="24"/>
                <w:szCs w:val="24"/>
              </w:rPr>
            </w:pPr>
            <w:r>
              <w:rPr>
                <w:sz w:val="24"/>
                <w:szCs w:val="24"/>
              </w:rPr>
              <w:t>提名书的代表性论文专著目录、主要知识产权和标准规范目录。</w:t>
            </w:r>
          </w:p>
          <w:p w14:paraId="34F7E796">
            <w:pPr>
              <w:pStyle w:val="2"/>
              <w:spacing w:after="0" w:line="440" w:lineRule="exact"/>
              <w:ind w:firstLine="480" w:firstLineChars="200"/>
              <w:rPr>
                <w:sz w:val="24"/>
                <w:szCs w:val="24"/>
              </w:rPr>
            </w:pPr>
            <w:r>
              <w:rPr>
                <w:rFonts w:hint="eastAsia"/>
                <w:sz w:val="24"/>
                <w:szCs w:val="24"/>
              </w:rPr>
              <w:t>发明专利1：</w:t>
            </w:r>
            <w:r>
              <w:rPr>
                <w:sz w:val="24"/>
                <w:szCs w:val="24"/>
              </w:rPr>
              <w:t>华英杰，王崇太，马健，李利娜</w:t>
            </w:r>
            <w:r>
              <w:rPr>
                <w:rFonts w:hint="eastAsia"/>
                <w:sz w:val="24"/>
                <w:szCs w:val="24"/>
              </w:rPr>
              <w:t>，</w:t>
            </w:r>
            <w:r>
              <w:rPr>
                <w:sz w:val="24"/>
                <w:szCs w:val="24"/>
              </w:rPr>
              <w:t>一种CsPW</w:t>
            </w:r>
            <w:r>
              <w:rPr>
                <w:sz w:val="24"/>
                <w:szCs w:val="24"/>
                <w:vertAlign w:val="subscript"/>
              </w:rPr>
              <w:t>11</w:t>
            </w:r>
            <w:r>
              <w:rPr>
                <w:sz w:val="24"/>
                <w:szCs w:val="24"/>
              </w:rPr>
              <w:t>Fe/Si异质结复合光电材料及其制备方法</w:t>
            </w:r>
            <w:r>
              <w:rPr>
                <w:rFonts w:hint="eastAsia"/>
                <w:sz w:val="24"/>
                <w:szCs w:val="24"/>
              </w:rPr>
              <w:t>，专利号：</w:t>
            </w:r>
            <w:r>
              <w:rPr>
                <w:sz w:val="24"/>
                <w:szCs w:val="24"/>
              </w:rPr>
              <w:t>ZL201910962294.9</w:t>
            </w:r>
            <w:r>
              <w:rPr>
                <w:rFonts w:hint="eastAsia"/>
                <w:sz w:val="24"/>
                <w:szCs w:val="24"/>
              </w:rPr>
              <w:t>，授权日期：2020.12.25。</w:t>
            </w:r>
          </w:p>
          <w:p w14:paraId="34A3AC2E">
            <w:pPr>
              <w:spacing w:line="440" w:lineRule="exact"/>
              <w:ind w:firstLine="480" w:firstLineChars="200"/>
              <w:rPr>
                <w:sz w:val="24"/>
                <w:szCs w:val="24"/>
              </w:rPr>
            </w:pPr>
            <w:r>
              <w:rPr>
                <w:rFonts w:hint="eastAsia"/>
                <w:sz w:val="24"/>
                <w:szCs w:val="24"/>
              </w:rPr>
              <w:t>发明专利2：</w:t>
            </w:r>
            <w:r>
              <w:rPr>
                <w:sz w:val="24"/>
                <w:szCs w:val="24"/>
              </w:rPr>
              <w:t>华英杰，贾仕豪，王崇太，韩慧敏</w:t>
            </w:r>
            <w:r>
              <w:rPr>
                <w:rFonts w:hint="eastAsia"/>
                <w:sz w:val="24"/>
                <w:szCs w:val="24"/>
              </w:rPr>
              <w:t>，一种碳聚合物点复合碳酸氧铋纳米片材料及其制备方法与应用，专利号：</w:t>
            </w:r>
            <w:r>
              <w:rPr>
                <w:sz w:val="24"/>
                <w:szCs w:val="24"/>
              </w:rPr>
              <w:t>ZL202311460621.3</w:t>
            </w:r>
            <w:r>
              <w:rPr>
                <w:rFonts w:hint="eastAsia"/>
                <w:sz w:val="24"/>
                <w:szCs w:val="24"/>
              </w:rPr>
              <w:t>，授权日期：2024.06.18。</w:t>
            </w:r>
          </w:p>
          <w:p w14:paraId="495F9313">
            <w:pPr>
              <w:spacing w:line="440" w:lineRule="exact"/>
              <w:ind w:firstLine="480" w:firstLineChars="200"/>
              <w:rPr>
                <w:sz w:val="24"/>
                <w:szCs w:val="24"/>
              </w:rPr>
            </w:pPr>
            <w:r>
              <w:rPr>
                <w:rFonts w:hint="eastAsia"/>
                <w:sz w:val="24"/>
                <w:szCs w:val="24"/>
              </w:rPr>
              <w:t>发明专利3：</w:t>
            </w:r>
            <w:r>
              <w:rPr>
                <w:sz w:val="24"/>
                <w:szCs w:val="24"/>
              </w:rPr>
              <w:t>王崇太，华英杰，刘希龙，朱兴旺</w:t>
            </w:r>
            <w:r>
              <w:rPr>
                <w:rFonts w:hint="eastAsia"/>
                <w:sz w:val="24"/>
                <w:szCs w:val="24"/>
              </w:rPr>
              <w:t>，</w:t>
            </w:r>
            <w:r>
              <w:rPr>
                <w:sz w:val="24"/>
                <w:szCs w:val="24"/>
              </w:rPr>
              <w:t>高效去除水体有机污染物的光催化处理方法及装置</w:t>
            </w:r>
            <w:r>
              <w:rPr>
                <w:rFonts w:hint="eastAsia"/>
                <w:sz w:val="24"/>
                <w:szCs w:val="24"/>
              </w:rPr>
              <w:t>，专利号：</w:t>
            </w:r>
            <w:r>
              <w:rPr>
                <w:sz w:val="24"/>
                <w:szCs w:val="24"/>
              </w:rPr>
              <w:t>ZL201510497872.8</w:t>
            </w:r>
            <w:r>
              <w:rPr>
                <w:rFonts w:hint="eastAsia"/>
                <w:sz w:val="24"/>
                <w:szCs w:val="24"/>
              </w:rPr>
              <w:t>，授权日期：</w:t>
            </w:r>
            <w:r>
              <w:rPr>
                <w:sz w:val="24"/>
                <w:szCs w:val="24"/>
              </w:rPr>
              <w:t>2017.05.17</w:t>
            </w:r>
            <w:r>
              <w:rPr>
                <w:rFonts w:hint="eastAsia"/>
                <w:sz w:val="24"/>
                <w:szCs w:val="24"/>
              </w:rPr>
              <w:t>。</w:t>
            </w:r>
          </w:p>
          <w:p w14:paraId="0A86ABE8">
            <w:pPr>
              <w:pStyle w:val="2"/>
              <w:spacing w:after="0" w:line="440" w:lineRule="exact"/>
              <w:ind w:firstLine="480" w:firstLineChars="200"/>
              <w:rPr>
                <w:sz w:val="24"/>
                <w:szCs w:val="24"/>
              </w:rPr>
            </w:pPr>
            <w:r>
              <w:rPr>
                <w:sz w:val="24"/>
                <w:szCs w:val="24"/>
              </w:rPr>
              <w:t>发明专利</w:t>
            </w:r>
            <w:r>
              <w:rPr>
                <w:rFonts w:hint="eastAsia"/>
                <w:sz w:val="24"/>
                <w:szCs w:val="24"/>
              </w:rPr>
              <w:t>4</w:t>
            </w:r>
            <w:r>
              <w:rPr>
                <w:sz w:val="24"/>
                <w:szCs w:val="24"/>
              </w:rPr>
              <w:t>：王彬，夏杰祥，刘高鹏，叶钰珍，朱文帅，李华明，一种富氧缺陷超薄PbBiO</w:t>
            </w:r>
            <w:r>
              <w:rPr>
                <w:sz w:val="24"/>
                <w:szCs w:val="24"/>
                <w:vertAlign w:val="subscript"/>
              </w:rPr>
              <w:t>2</w:t>
            </w:r>
            <w:r>
              <w:rPr>
                <w:sz w:val="24"/>
                <w:szCs w:val="24"/>
              </w:rPr>
              <w:t>Br纳米片的制备方法及其用途，专利号：ZL201910081431.8</w:t>
            </w:r>
            <w:r>
              <w:rPr>
                <w:rFonts w:hint="eastAsia"/>
                <w:sz w:val="24"/>
                <w:szCs w:val="24"/>
              </w:rPr>
              <w:t>，授权日期：2021.09.10。</w:t>
            </w:r>
          </w:p>
          <w:p w14:paraId="6B7D909C">
            <w:pPr>
              <w:pStyle w:val="2"/>
              <w:spacing w:after="0" w:line="440" w:lineRule="exact"/>
              <w:ind w:firstLine="480" w:firstLineChars="200"/>
              <w:rPr>
                <w:sz w:val="24"/>
                <w:szCs w:val="24"/>
              </w:rPr>
            </w:pPr>
            <w:r>
              <w:rPr>
                <w:sz w:val="24"/>
                <w:szCs w:val="24"/>
              </w:rPr>
              <w:t xml:space="preserve">发明专利 </w:t>
            </w:r>
            <w:r>
              <w:rPr>
                <w:rFonts w:hint="eastAsia"/>
                <w:sz w:val="24"/>
                <w:szCs w:val="24"/>
              </w:rPr>
              <w:t>5</w:t>
            </w:r>
            <w:r>
              <w:rPr>
                <w:sz w:val="24"/>
                <w:szCs w:val="24"/>
              </w:rPr>
              <w:t>：朱兴旺、许晖、李华明、杨金曼、周固礼，一种具有特殊暴露晶面的异质结的制备方法，</w:t>
            </w:r>
            <w:r>
              <w:rPr>
                <w:rFonts w:hint="eastAsia"/>
                <w:sz w:val="24"/>
                <w:szCs w:val="24"/>
              </w:rPr>
              <w:t>专利号：</w:t>
            </w:r>
            <w:r>
              <w:rPr>
                <w:sz w:val="24"/>
                <w:szCs w:val="24"/>
              </w:rPr>
              <w:t>ZL201811501092.6</w:t>
            </w:r>
            <w:r>
              <w:rPr>
                <w:rFonts w:hint="eastAsia"/>
                <w:sz w:val="24"/>
                <w:szCs w:val="24"/>
              </w:rPr>
              <w:t>，授权日期：2022.03.18。</w:t>
            </w:r>
          </w:p>
          <w:p w14:paraId="74D93987">
            <w:pPr>
              <w:spacing w:line="440" w:lineRule="exact"/>
              <w:ind w:firstLine="480" w:firstLineChars="200"/>
              <w:rPr>
                <w:sz w:val="24"/>
                <w:szCs w:val="24"/>
              </w:rPr>
            </w:pPr>
            <w:r>
              <w:rPr>
                <w:rFonts w:hint="eastAsia"/>
                <w:sz w:val="24"/>
                <w:szCs w:val="24"/>
              </w:rPr>
              <w:t>代表论文1：</w:t>
            </w:r>
            <w:r>
              <w:rPr>
                <w:sz w:val="24"/>
                <w:szCs w:val="24"/>
              </w:rPr>
              <w:t>Shihao Jia#, Huimin Han#, Bin Wang*, Jinyuan Liu, Qi Tang, Gaopeng Liu, Qingdong Ruan, Xingwang Zhu*, Huaming Li, Chongtai Wang, Paul K. Chu, Yingjie Hua*, Multidimensional carbon-based polymer/Bi</w:t>
            </w:r>
            <w:r>
              <w:rPr>
                <w:sz w:val="24"/>
                <w:szCs w:val="24"/>
                <w:vertAlign w:val="subscript"/>
              </w:rPr>
              <w:t>2</w:t>
            </w:r>
            <w:r>
              <w:rPr>
                <w:sz w:val="24"/>
                <w:szCs w:val="24"/>
              </w:rPr>
              <w:t>O</w:t>
            </w:r>
            <w:r>
              <w:rPr>
                <w:sz w:val="24"/>
                <w:szCs w:val="24"/>
                <w:vertAlign w:val="subscript"/>
              </w:rPr>
              <w:t>2</w:t>
            </w:r>
            <w:r>
              <w:rPr>
                <w:sz w:val="24"/>
                <w:szCs w:val="24"/>
              </w:rPr>
              <w:t>CO</w:t>
            </w:r>
            <w:r>
              <w:rPr>
                <w:sz w:val="24"/>
                <w:szCs w:val="24"/>
                <w:vertAlign w:val="subscript"/>
              </w:rPr>
              <w:t>3</w:t>
            </w:r>
            <w:r>
              <w:rPr>
                <w:sz w:val="24"/>
                <w:szCs w:val="24"/>
              </w:rPr>
              <w:t xml:space="preserve"> S-scheme heterojunction boosting carrier separation in efficient photocatalytic seawater purification, Applied Catalysis B: Environment and Energy, 2024, 353, 124050.</w:t>
            </w:r>
          </w:p>
          <w:p w14:paraId="0FBDDB82">
            <w:pPr>
              <w:pStyle w:val="2"/>
              <w:spacing w:after="0" w:line="440" w:lineRule="exact"/>
              <w:ind w:firstLine="480" w:firstLineChars="200"/>
              <w:rPr>
                <w:sz w:val="24"/>
                <w:szCs w:val="24"/>
              </w:rPr>
            </w:pPr>
            <w:r>
              <w:rPr>
                <w:rFonts w:hint="eastAsia"/>
                <w:sz w:val="24"/>
                <w:szCs w:val="24"/>
              </w:rPr>
              <w:t>代表论文2：</w:t>
            </w:r>
            <w:r>
              <w:rPr>
                <w:sz w:val="24"/>
                <w:szCs w:val="24"/>
              </w:rPr>
              <w:t>Xingwang Zhu, Zhaolong Wang, Kang Zhong, Qidi Li, Penghui Ding, Ziyi Feng, Jinman Yang, Yansheng Du*, Yanhua Song, Yingjie Hua, Junjie Yuan, Yuanbin She*, Huaming Li, Hui Xu*, Mo-O-Bi Bonds as interfacial electron transport bridges to fuel CO</w:t>
            </w:r>
            <w:r>
              <w:rPr>
                <w:sz w:val="24"/>
                <w:szCs w:val="24"/>
                <w:vertAlign w:val="subscript"/>
              </w:rPr>
              <w:t>2</w:t>
            </w:r>
            <w:r>
              <w:rPr>
                <w:sz w:val="24"/>
                <w:szCs w:val="24"/>
              </w:rPr>
              <w:t xml:space="preserve"> photoreduction via in-situ reconstruction of black Bi</w:t>
            </w:r>
            <w:r>
              <w:rPr>
                <w:sz w:val="24"/>
                <w:szCs w:val="24"/>
                <w:vertAlign w:val="subscript"/>
              </w:rPr>
              <w:t>2</w:t>
            </w:r>
            <w:r>
              <w:rPr>
                <w:sz w:val="24"/>
                <w:szCs w:val="24"/>
              </w:rPr>
              <w:t>MoO</w:t>
            </w:r>
            <w:r>
              <w:rPr>
                <w:sz w:val="24"/>
                <w:szCs w:val="24"/>
                <w:vertAlign w:val="subscript"/>
              </w:rPr>
              <w:t>6</w:t>
            </w:r>
            <w:r>
              <w:rPr>
                <w:sz w:val="24"/>
                <w:szCs w:val="24"/>
              </w:rPr>
              <w:t>/BiO</w:t>
            </w:r>
            <w:r>
              <w:rPr>
                <w:sz w:val="24"/>
                <w:szCs w:val="24"/>
                <w:vertAlign w:val="subscript"/>
              </w:rPr>
              <w:t>2-x</w:t>
            </w:r>
            <w:r>
              <w:rPr>
                <w:sz w:val="24"/>
                <w:szCs w:val="24"/>
              </w:rPr>
              <w:t xml:space="preserve"> heterojunction, Chemical Engineering Journal, 2022, 429, 132204.</w:t>
            </w:r>
          </w:p>
          <w:p w14:paraId="6901C476">
            <w:pPr>
              <w:spacing w:line="440" w:lineRule="exact"/>
              <w:ind w:firstLine="480" w:firstLineChars="200"/>
            </w:pPr>
            <w:r>
              <w:rPr>
                <w:rFonts w:hint="eastAsia"/>
                <w:sz w:val="24"/>
                <w:szCs w:val="24"/>
              </w:rPr>
              <w:t>代表论文3：</w:t>
            </w:r>
            <w:r>
              <w:rPr>
                <w:sz w:val="24"/>
                <w:szCs w:val="24"/>
              </w:rPr>
              <w:t>Xingwang Zhu, Jinman Yang, Xianglin Zhu, Junjie Yuan, Min Zhou, Xiaojie She*, Qing Yu, Yanhua Song, Yuanbin She, Yingjie Hua, Huaming Li, Hui Xu*, Exploring deep effects of atomic vacancies on activating CO</w:t>
            </w:r>
            <w:r>
              <w:rPr>
                <w:sz w:val="24"/>
                <w:szCs w:val="24"/>
                <w:vertAlign w:val="subscript"/>
              </w:rPr>
              <w:t>2</w:t>
            </w:r>
            <w:r>
              <w:rPr>
                <w:sz w:val="24"/>
                <w:szCs w:val="24"/>
              </w:rPr>
              <w:t xml:space="preserve"> photoreduction via rationally designing indium oxide photocatalysts, Chemical Engineering Journal, 2021, 422, 129888.</w:t>
            </w:r>
          </w:p>
          <w:p w14:paraId="7AF34D00">
            <w:pPr>
              <w:pStyle w:val="2"/>
              <w:spacing w:after="0" w:line="440" w:lineRule="exact"/>
              <w:ind w:firstLine="480" w:firstLineChars="200"/>
            </w:pPr>
            <w:r>
              <w:rPr>
                <w:rFonts w:hint="eastAsia"/>
                <w:sz w:val="24"/>
                <w:szCs w:val="24"/>
              </w:rPr>
              <w:t>代表论文4：</w:t>
            </w:r>
            <w:r>
              <w:rPr>
                <w:sz w:val="24"/>
                <w:szCs w:val="24"/>
              </w:rPr>
              <w:t>Bin Wang#, Hailong Chen#, Wei Zhang#, *, Heyuan Liu, Zhaoke Zheng, Fangcheng Huang, Jinyuan Liu, Gaopeng Liu, Xingwang Yan, Yu-Xiang Weng, Huaming Li, Yuanbin She*, Paul K. Chu*, Jiexiang Xia*, Semimetallic bismuthene with edge-rich dangling bonds: Broad-spectrum-driven and edge-confined electron enhancement boosting CO</w:t>
            </w:r>
            <w:r>
              <w:rPr>
                <w:sz w:val="24"/>
                <w:szCs w:val="24"/>
                <w:vertAlign w:val="subscript"/>
              </w:rPr>
              <w:t>2</w:t>
            </w:r>
            <w:r>
              <w:rPr>
                <w:sz w:val="24"/>
                <w:szCs w:val="24"/>
              </w:rPr>
              <w:t xml:space="preserve"> hydrogenation reduction, Advanced Materials, 2024, 36, 2312676.</w:t>
            </w:r>
          </w:p>
          <w:p w14:paraId="7EEA76E8">
            <w:pPr>
              <w:spacing w:line="440" w:lineRule="exact"/>
              <w:ind w:firstLine="480" w:firstLineChars="200"/>
              <w:rPr>
                <w:sz w:val="24"/>
                <w:szCs w:val="24"/>
              </w:rPr>
            </w:pPr>
            <w:r>
              <w:rPr>
                <w:rFonts w:hint="eastAsia"/>
                <w:sz w:val="24"/>
                <w:szCs w:val="24"/>
              </w:rPr>
              <w:t>代表论文5：</w:t>
            </w:r>
            <w:r>
              <w:rPr>
                <w:sz w:val="24"/>
                <w:szCs w:val="24"/>
              </w:rPr>
              <w:t>Bin Wang#, Wei Zhang#, Gaopeng Liu, Hailong Chen, Yu-Xiang Weng, Huaming Li, Paul K. Chu, Jiexiang Xia*, Excited electron-rich Bi</w:t>
            </w:r>
            <w:r>
              <w:rPr>
                <w:sz w:val="24"/>
                <w:szCs w:val="24"/>
                <w:vertAlign w:val="superscript"/>
              </w:rPr>
              <w:t>(3-x)+</w:t>
            </w:r>
            <w:r>
              <w:rPr>
                <w:sz w:val="24"/>
                <w:szCs w:val="24"/>
              </w:rPr>
              <w:t xml:space="preserve"> sites: a quantum well-like structure for highly-promoted selective photocatalytic CO</w:t>
            </w:r>
            <w:r>
              <w:rPr>
                <w:sz w:val="24"/>
                <w:szCs w:val="24"/>
                <w:vertAlign w:val="subscript"/>
              </w:rPr>
              <w:t>2</w:t>
            </w:r>
            <w:r>
              <w:rPr>
                <w:sz w:val="24"/>
                <w:szCs w:val="24"/>
              </w:rPr>
              <w:t xml:space="preserve"> reduction performance, Advanced Functional Materials, 2022, 32, 202202885.</w:t>
            </w:r>
          </w:p>
        </w:tc>
      </w:tr>
      <w:tr w14:paraId="1FCC2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0" w:hRule="atLeast"/>
          <w:jc w:val="center"/>
        </w:trPr>
        <w:tc>
          <w:tcPr>
            <w:tcW w:w="2269" w:type="dxa"/>
            <w:vAlign w:val="center"/>
          </w:tcPr>
          <w:p w14:paraId="707EA39A">
            <w:pPr>
              <w:spacing w:line="440" w:lineRule="exact"/>
              <w:jc w:val="center"/>
              <w:rPr>
                <w:b/>
                <w:bCs/>
                <w:sz w:val="24"/>
                <w:szCs w:val="24"/>
              </w:rPr>
            </w:pPr>
            <w:r>
              <w:rPr>
                <w:b/>
                <w:bCs/>
                <w:sz w:val="24"/>
                <w:szCs w:val="24"/>
              </w:rPr>
              <w:t>主要完成人</w:t>
            </w:r>
          </w:p>
          <w:p w14:paraId="786316F3">
            <w:pPr>
              <w:spacing w:line="440" w:lineRule="exact"/>
              <w:jc w:val="center"/>
              <w:rPr>
                <w:lang w:val="en"/>
              </w:rPr>
            </w:pPr>
            <w:r>
              <w:rPr>
                <w:b/>
                <w:bCs/>
                <w:sz w:val="24"/>
                <w:szCs w:val="24"/>
                <w:lang w:val="en"/>
              </w:rPr>
              <w:t>（排序、工作单位和贡献）</w:t>
            </w:r>
          </w:p>
        </w:tc>
        <w:tc>
          <w:tcPr>
            <w:tcW w:w="7169" w:type="dxa"/>
            <w:vAlign w:val="center"/>
          </w:tcPr>
          <w:p w14:paraId="169190D0">
            <w:pPr>
              <w:spacing w:line="440" w:lineRule="atLeast"/>
              <w:rPr>
                <w:bCs/>
                <w:sz w:val="24"/>
                <w:szCs w:val="24"/>
              </w:rPr>
            </w:pPr>
            <w:r>
              <w:rPr>
                <w:b/>
                <w:sz w:val="24"/>
                <w:szCs w:val="24"/>
              </w:rPr>
              <w:t>1.</w:t>
            </w:r>
            <w:r>
              <w:rPr>
                <w:rFonts w:hint="eastAsia"/>
                <w:b/>
                <w:sz w:val="24"/>
                <w:szCs w:val="24"/>
              </w:rPr>
              <w:t xml:space="preserve"> 华英杰</w:t>
            </w:r>
            <w:r>
              <w:rPr>
                <w:b/>
                <w:sz w:val="24"/>
                <w:szCs w:val="24"/>
              </w:rPr>
              <w:t>，</w:t>
            </w:r>
            <w:r>
              <w:rPr>
                <w:rFonts w:hint="eastAsia"/>
                <w:b/>
                <w:sz w:val="24"/>
                <w:szCs w:val="24"/>
              </w:rPr>
              <w:t>海南师范大学</w:t>
            </w:r>
            <w:r>
              <w:rPr>
                <w:b/>
                <w:sz w:val="24"/>
                <w:szCs w:val="24"/>
              </w:rPr>
              <w:t>，</w:t>
            </w:r>
            <w:r>
              <w:rPr>
                <w:bCs/>
                <w:sz w:val="24"/>
                <w:szCs w:val="24"/>
              </w:rPr>
              <w:t>项目主持人，负责整个项目研究工作的实施以及对参与人员的工作协调与指导。主导了半导体催化剂生产技术和</w:t>
            </w:r>
            <w:r>
              <w:rPr>
                <w:rFonts w:hint="eastAsia"/>
                <w:bCs/>
                <w:sz w:val="24"/>
                <w:szCs w:val="24"/>
              </w:rPr>
              <w:t>催化反应器改造</w:t>
            </w:r>
            <w:r>
              <w:rPr>
                <w:bCs/>
                <w:sz w:val="24"/>
                <w:szCs w:val="24"/>
              </w:rPr>
              <w:t>技术的发展，并推动校企合作实现了技术的产业化和市场化，创造了显著的社会和经济效益。是科技创新点1-3的主要贡献者，发明专利1-2的第一作者，发明专利3的第二作者，代表性论文1的通讯作者，代表性论文2和3的第10作者，是1项国家自然科学基金</w:t>
            </w:r>
            <w:r>
              <w:rPr>
                <w:rFonts w:hint="eastAsia"/>
                <w:bCs/>
                <w:sz w:val="24"/>
                <w:szCs w:val="24"/>
              </w:rPr>
              <w:t>地区科学基金项目</w:t>
            </w:r>
            <w:r>
              <w:rPr>
                <w:bCs/>
                <w:sz w:val="24"/>
                <w:szCs w:val="24"/>
              </w:rPr>
              <w:t>、1项海南省国际科技合作专项项目的主持人。</w:t>
            </w:r>
          </w:p>
          <w:p w14:paraId="4BE4A859">
            <w:pPr>
              <w:spacing w:line="440" w:lineRule="atLeast"/>
              <w:rPr>
                <w:bCs/>
                <w:sz w:val="24"/>
                <w:szCs w:val="24"/>
              </w:rPr>
            </w:pPr>
            <w:r>
              <w:rPr>
                <w:b/>
                <w:sz w:val="24"/>
                <w:szCs w:val="24"/>
              </w:rPr>
              <w:t>2.</w:t>
            </w:r>
            <w:r>
              <w:rPr>
                <w:rFonts w:hint="eastAsia"/>
                <w:b/>
                <w:sz w:val="24"/>
                <w:szCs w:val="24"/>
              </w:rPr>
              <w:t xml:space="preserve"> 王彬</w:t>
            </w:r>
            <w:r>
              <w:rPr>
                <w:b/>
                <w:sz w:val="24"/>
                <w:szCs w:val="24"/>
              </w:rPr>
              <w:t>，</w:t>
            </w:r>
            <w:r>
              <w:rPr>
                <w:rFonts w:hint="eastAsia"/>
                <w:b/>
                <w:sz w:val="24"/>
                <w:szCs w:val="24"/>
              </w:rPr>
              <w:t>江苏大学</w:t>
            </w:r>
            <w:r>
              <w:rPr>
                <w:b/>
                <w:sz w:val="24"/>
                <w:szCs w:val="24"/>
              </w:rPr>
              <w:t>，</w:t>
            </w:r>
            <w:r>
              <w:rPr>
                <w:bCs/>
                <w:sz w:val="24"/>
                <w:szCs w:val="24"/>
              </w:rPr>
              <w:t>重点参与了科技创新点1-3的科研和产品开发工作，建立了可控合成表面富缺陷二维材料的新方法，阐明了催化剂结构调控对强化光催化CO</w:t>
            </w:r>
            <w:r>
              <w:rPr>
                <w:bCs/>
                <w:sz w:val="24"/>
                <w:szCs w:val="24"/>
                <w:vertAlign w:val="subscript"/>
              </w:rPr>
              <w:t>2</w:t>
            </w:r>
            <w:r>
              <w:rPr>
                <w:bCs/>
                <w:sz w:val="24"/>
                <w:szCs w:val="24"/>
              </w:rPr>
              <w:t>转化、分解水产氢、环境修复的内在机制。是发明专利4的第一作者，代表性论文1的通讯作者，代表性论文4-5的第一作者，是1项国家自然科学基金青年项目的主持人。</w:t>
            </w:r>
          </w:p>
          <w:p w14:paraId="6FE4D335">
            <w:pPr>
              <w:spacing w:line="440" w:lineRule="atLeast"/>
              <w:rPr>
                <w:bCs/>
                <w:sz w:val="24"/>
                <w:szCs w:val="24"/>
              </w:rPr>
            </w:pPr>
            <w:r>
              <w:rPr>
                <w:b/>
                <w:sz w:val="24"/>
                <w:szCs w:val="24"/>
              </w:rPr>
              <w:t>3.</w:t>
            </w:r>
            <w:r>
              <w:rPr>
                <w:rFonts w:hint="eastAsia"/>
                <w:b/>
                <w:sz w:val="24"/>
                <w:szCs w:val="24"/>
              </w:rPr>
              <w:t xml:space="preserve"> 朱兴旺</w:t>
            </w:r>
            <w:r>
              <w:rPr>
                <w:b/>
                <w:sz w:val="24"/>
                <w:szCs w:val="24"/>
              </w:rPr>
              <w:t>，</w:t>
            </w:r>
            <w:r>
              <w:rPr>
                <w:rFonts w:hint="eastAsia"/>
                <w:b/>
                <w:sz w:val="24"/>
                <w:szCs w:val="24"/>
              </w:rPr>
              <w:t>扬州大学</w:t>
            </w:r>
            <w:r>
              <w:rPr>
                <w:b/>
                <w:sz w:val="24"/>
                <w:szCs w:val="24"/>
              </w:rPr>
              <w:t>，</w:t>
            </w:r>
            <w:r>
              <w:rPr>
                <w:bCs/>
                <w:sz w:val="24"/>
                <w:szCs w:val="24"/>
              </w:rPr>
              <w:t>重点参与了科技创新点1-3的科研和产品开发工作，系统开展了超薄层状催化剂的构筑与多尺度电荷传输机制研究，提出并发展了热氧化宏量合成超薄氮化碳创新策略，实现了公斤级催化剂连续流宏量制备与氢氧分离系统集成，推动光催化制氢由基础研究迈向工程化应用。是发明专利</w:t>
            </w:r>
            <w:r>
              <w:rPr>
                <w:rFonts w:hint="eastAsia"/>
                <w:bCs/>
                <w:sz w:val="24"/>
                <w:szCs w:val="24"/>
              </w:rPr>
              <w:t>5</w:t>
            </w:r>
            <w:r>
              <w:rPr>
                <w:bCs/>
                <w:sz w:val="24"/>
                <w:szCs w:val="24"/>
              </w:rPr>
              <w:t>的第一作者，代表性论文2-3的第一作者。</w:t>
            </w:r>
          </w:p>
          <w:p w14:paraId="2376069E">
            <w:pPr>
              <w:pStyle w:val="2"/>
              <w:spacing w:after="0" w:line="440" w:lineRule="atLeast"/>
              <w:rPr>
                <w:sz w:val="24"/>
                <w:szCs w:val="24"/>
              </w:rPr>
            </w:pPr>
            <w:r>
              <w:rPr>
                <w:rFonts w:hint="eastAsia"/>
                <w:b/>
                <w:bCs/>
                <w:sz w:val="24"/>
                <w:szCs w:val="24"/>
              </w:rPr>
              <w:t xml:space="preserve">4. </w:t>
            </w:r>
            <w:r>
              <w:rPr>
                <w:b/>
                <w:bCs/>
                <w:sz w:val="24"/>
                <w:szCs w:val="24"/>
              </w:rPr>
              <w:t>王崇太</w:t>
            </w:r>
            <w:r>
              <w:rPr>
                <w:rFonts w:hint="eastAsia"/>
                <w:b/>
                <w:bCs/>
                <w:sz w:val="24"/>
                <w:szCs w:val="24"/>
              </w:rPr>
              <w:t>，海南师范大学，</w:t>
            </w:r>
            <w:r>
              <w:rPr>
                <w:sz w:val="24"/>
                <w:szCs w:val="24"/>
              </w:rPr>
              <w:t>作为本项目的主要完成人，参与了科技创新点1-3的科研和产品开发工作，负责发展了半导体复合材料构建新方法，建立了规模化高通量连续流催化反应新技术。是发明专利3的第一作者，发明专利1的第二作者，发明专利2的第三作者，代表性论文1的第十作者，是1项海南省应用技术研究与开发专项（省重点科技计划）的主持人。</w:t>
            </w:r>
          </w:p>
          <w:p w14:paraId="2E9C4FB8">
            <w:pPr>
              <w:spacing w:line="440" w:lineRule="atLeast"/>
              <w:rPr>
                <w:sz w:val="24"/>
                <w:szCs w:val="24"/>
              </w:rPr>
            </w:pPr>
            <w:r>
              <w:rPr>
                <w:rFonts w:hint="eastAsia"/>
                <w:b/>
                <w:bCs/>
                <w:sz w:val="24"/>
                <w:szCs w:val="24"/>
              </w:rPr>
              <w:t xml:space="preserve">5. </w:t>
            </w:r>
            <w:r>
              <w:rPr>
                <w:b/>
                <w:bCs/>
                <w:sz w:val="24"/>
                <w:szCs w:val="24"/>
              </w:rPr>
              <w:t>陈贵堂</w:t>
            </w:r>
            <w:r>
              <w:rPr>
                <w:rFonts w:hint="eastAsia"/>
                <w:b/>
                <w:bCs/>
                <w:sz w:val="24"/>
                <w:szCs w:val="24"/>
              </w:rPr>
              <w:t>，</w:t>
            </w:r>
            <w:r>
              <w:rPr>
                <w:b/>
                <w:bCs/>
                <w:sz w:val="24"/>
                <w:szCs w:val="24"/>
              </w:rPr>
              <w:t>中集中电(扬州)制氢设备有限公司</w:t>
            </w:r>
            <w:r>
              <w:rPr>
                <w:rFonts w:hint="eastAsia"/>
                <w:b/>
                <w:bCs/>
                <w:sz w:val="24"/>
                <w:szCs w:val="24"/>
              </w:rPr>
              <w:t>，</w:t>
            </w:r>
            <w:r>
              <w:rPr>
                <w:sz w:val="24"/>
                <w:szCs w:val="24"/>
              </w:rPr>
              <w:t>在本项目中主要承担了催化剂规模化生产与销售，开发高通量连续流催化反应集成系统，提供风光制氢合成氨/合成甲醇/冶金、制加氢一体站等一体化解决方案，包括系统配置、经济测算、运行策略等。提供分解水制氢项目专业运维服务，包括设备调试运行、检修维护、全生命周期设备健康管理等，是科技创新点3的重要参与完成人。</w:t>
            </w:r>
          </w:p>
          <w:p w14:paraId="05667D62">
            <w:pPr>
              <w:spacing w:line="440" w:lineRule="atLeast"/>
              <w:rPr>
                <w:sz w:val="24"/>
                <w:szCs w:val="24"/>
              </w:rPr>
            </w:pPr>
            <w:r>
              <w:rPr>
                <w:rFonts w:hint="eastAsia"/>
                <w:b/>
                <w:bCs/>
                <w:sz w:val="24"/>
                <w:szCs w:val="24"/>
              </w:rPr>
              <w:t>6. 夏杰祥，江苏大学，</w:t>
            </w:r>
            <w:r>
              <w:rPr>
                <w:sz w:val="24"/>
                <w:szCs w:val="24"/>
              </w:rPr>
              <w:t>参与超薄层状催化剂的优化设计工作，提出了异质结复合催化剂结构调控新策略，发现了离子液体构建超薄催化剂新方法，主要参与并完成科技创新点1-3，</w:t>
            </w:r>
            <w:r>
              <w:rPr>
                <w:rFonts w:hint="eastAsia"/>
                <w:sz w:val="24"/>
                <w:szCs w:val="24"/>
              </w:rPr>
              <w:t>是</w:t>
            </w:r>
            <w:r>
              <w:rPr>
                <w:sz w:val="24"/>
                <w:szCs w:val="24"/>
              </w:rPr>
              <w:t>发明专利</w:t>
            </w:r>
            <w:r>
              <w:rPr>
                <w:rFonts w:hint="eastAsia"/>
                <w:sz w:val="24"/>
                <w:szCs w:val="24"/>
              </w:rPr>
              <w:t>4</w:t>
            </w:r>
            <w:r>
              <w:rPr>
                <w:sz w:val="24"/>
                <w:szCs w:val="24"/>
              </w:rPr>
              <w:t>的第二作者，代表性论文4-5的通讯作者。</w:t>
            </w:r>
          </w:p>
          <w:p w14:paraId="0412C5D6">
            <w:pPr>
              <w:pStyle w:val="2"/>
              <w:spacing w:after="0" w:line="440" w:lineRule="atLeast"/>
              <w:rPr>
                <w:sz w:val="24"/>
                <w:szCs w:val="24"/>
              </w:rPr>
            </w:pPr>
            <w:r>
              <w:rPr>
                <w:rFonts w:hint="eastAsia"/>
                <w:b/>
                <w:bCs/>
                <w:sz w:val="24"/>
                <w:szCs w:val="24"/>
              </w:rPr>
              <w:t>7. 许晖，江苏大学，</w:t>
            </w:r>
            <w:r>
              <w:rPr>
                <w:sz w:val="24"/>
                <w:szCs w:val="24"/>
              </w:rPr>
              <w:t>参与解决超薄层状材料光催化技术研发过程中的关键科学问题及相关方案拟定工作。主要侧重于催化剂结构设计及其用于还原CO</w:t>
            </w:r>
            <w:r>
              <w:rPr>
                <w:sz w:val="24"/>
                <w:szCs w:val="24"/>
                <w:vertAlign w:val="subscript"/>
              </w:rPr>
              <w:t>2</w:t>
            </w:r>
            <w:r>
              <w:rPr>
                <w:sz w:val="24"/>
                <w:szCs w:val="24"/>
              </w:rPr>
              <w:t>制燃料和光解水制氢工作，主要参与并完成科技创新点1-3，是发明专利</w:t>
            </w:r>
            <w:r>
              <w:rPr>
                <w:rFonts w:hint="eastAsia"/>
                <w:sz w:val="24"/>
                <w:szCs w:val="24"/>
              </w:rPr>
              <w:t>5</w:t>
            </w:r>
            <w:r>
              <w:rPr>
                <w:sz w:val="24"/>
                <w:szCs w:val="24"/>
              </w:rPr>
              <w:t>的第二作者，代表性论文2-3的通讯作者。</w:t>
            </w:r>
          </w:p>
          <w:p w14:paraId="3B921659">
            <w:pPr>
              <w:pStyle w:val="2"/>
              <w:spacing w:after="0" w:line="440" w:lineRule="atLeast"/>
              <w:rPr>
                <w:sz w:val="24"/>
                <w:szCs w:val="24"/>
              </w:rPr>
            </w:pPr>
            <w:r>
              <w:rPr>
                <w:rFonts w:hint="eastAsia"/>
                <w:b/>
                <w:bCs/>
                <w:sz w:val="24"/>
                <w:szCs w:val="24"/>
              </w:rPr>
              <w:t>8. 刘津媛，江苏大学，</w:t>
            </w:r>
            <w:r>
              <w:rPr>
                <w:sz w:val="24"/>
                <w:szCs w:val="24"/>
              </w:rPr>
              <w:t>参与发展了超薄二维催化剂表面助催化剂改性的策略，完成了催化剂CO</w:t>
            </w:r>
            <w:r>
              <w:rPr>
                <w:sz w:val="24"/>
                <w:szCs w:val="24"/>
                <w:vertAlign w:val="subscript"/>
              </w:rPr>
              <w:t>2</w:t>
            </w:r>
            <w:r>
              <w:rPr>
                <w:sz w:val="24"/>
                <w:szCs w:val="24"/>
              </w:rPr>
              <w:t>转化、分解水制氢等性能的评估，主要参与科技创新点1-2，</w:t>
            </w:r>
            <w:r>
              <w:rPr>
                <w:rFonts w:hint="eastAsia"/>
                <w:sz w:val="24"/>
                <w:szCs w:val="24"/>
              </w:rPr>
              <w:t>是</w:t>
            </w:r>
            <w:r>
              <w:rPr>
                <w:sz w:val="24"/>
                <w:szCs w:val="24"/>
              </w:rPr>
              <w:t>代表性论文1的第四作者，代表论文4的第七作者，是1项国家自然科学基金青年项目的主持人。</w:t>
            </w:r>
          </w:p>
        </w:tc>
      </w:tr>
      <w:tr w14:paraId="7DBA4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vAlign w:val="center"/>
          </w:tcPr>
          <w:p w14:paraId="75E6E043">
            <w:pPr>
              <w:spacing w:line="440" w:lineRule="exact"/>
              <w:jc w:val="center"/>
              <w:rPr>
                <w:b/>
                <w:bCs/>
                <w:sz w:val="24"/>
                <w:szCs w:val="24"/>
              </w:rPr>
            </w:pPr>
            <w:r>
              <w:rPr>
                <w:b/>
                <w:bCs/>
                <w:sz w:val="24"/>
                <w:szCs w:val="24"/>
              </w:rPr>
              <w:t>主要完成单位</w:t>
            </w:r>
          </w:p>
          <w:p w14:paraId="2712FF4C">
            <w:pPr>
              <w:pStyle w:val="31"/>
              <w:jc w:val="center"/>
              <w:rPr>
                <w:rFonts w:ascii="Times New Roman" w:hAnsi="Times New Roman"/>
              </w:rPr>
            </w:pPr>
            <w:r>
              <w:rPr>
                <w:rFonts w:ascii="Times New Roman" w:hAnsi="Times New Roman"/>
                <w:b/>
                <w:bCs/>
                <w:sz w:val="24"/>
                <w:szCs w:val="24"/>
              </w:rPr>
              <w:t>（排序和贡献）</w:t>
            </w:r>
          </w:p>
        </w:tc>
        <w:tc>
          <w:tcPr>
            <w:tcW w:w="7169" w:type="dxa"/>
            <w:vAlign w:val="center"/>
          </w:tcPr>
          <w:p w14:paraId="7198C534">
            <w:pPr>
              <w:spacing w:line="440" w:lineRule="exact"/>
              <w:jc w:val="left"/>
              <w:rPr>
                <w:bCs/>
                <w:sz w:val="24"/>
                <w:szCs w:val="24"/>
              </w:rPr>
            </w:pPr>
            <w:r>
              <w:rPr>
                <w:rFonts w:hint="eastAsia"/>
                <w:b/>
                <w:sz w:val="24"/>
                <w:szCs w:val="24"/>
              </w:rPr>
              <w:t xml:space="preserve">1. </w:t>
            </w:r>
            <w:r>
              <w:rPr>
                <w:b/>
                <w:sz w:val="24"/>
                <w:szCs w:val="24"/>
              </w:rPr>
              <w:t>海南师范大学，</w:t>
            </w:r>
            <w:r>
              <w:rPr>
                <w:bCs/>
                <w:sz w:val="24"/>
                <w:szCs w:val="24"/>
              </w:rPr>
              <w:t>海南师范大学是项目的主要依托和承担单位。海南师范大学在本项目中发挥了关键的组织协调与技术攻关作用，是本项目科技创新体系构建和成果转化推广的核心支撑单位。海南师范大学牵头完成了本项目整体研究方案的设计与实施，系统提出了三项原创性关键技术路径：缺陷工程诱导类“量子阱”结构强化光催化性能；异质结复合材料的可控构筑促进载流子分离增强光催化性能；高效二维半导体催化剂宏量制备及新型规模化高通量连续流光反应器开发和应用。在成果转化方面，海南师范大学牵头与江苏大学大学、扬州大学和中集中电(扬州)制氢设备有限公司开展产学研合作，主导设计了规模化高通量连续流催化反应装置及标准化反应单元，实现了催化剂的工程化应用和反应系统的生产与推广。</w:t>
            </w:r>
          </w:p>
          <w:p w14:paraId="64791083">
            <w:pPr>
              <w:pStyle w:val="2"/>
              <w:spacing w:after="0" w:line="440" w:lineRule="exact"/>
              <w:rPr>
                <w:sz w:val="24"/>
                <w:szCs w:val="24"/>
              </w:rPr>
            </w:pPr>
            <w:r>
              <w:rPr>
                <w:rFonts w:hint="eastAsia"/>
                <w:b/>
                <w:bCs/>
                <w:sz w:val="24"/>
                <w:szCs w:val="24"/>
              </w:rPr>
              <w:t>2. 江苏大学，</w:t>
            </w:r>
            <w:r>
              <w:rPr>
                <w:rFonts w:hint="eastAsia"/>
                <w:sz w:val="24"/>
                <w:szCs w:val="24"/>
              </w:rPr>
              <w:t>作为主要完成单位之一，</w:t>
            </w:r>
            <w:r>
              <w:rPr>
                <w:sz w:val="24"/>
                <w:szCs w:val="24"/>
              </w:rPr>
              <w:t>在半导体催化剂生产技术及高通量连续流催化</w:t>
            </w:r>
            <w:r>
              <w:rPr>
                <w:bCs/>
                <w:sz w:val="24"/>
                <w:szCs w:val="24"/>
              </w:rPr>
              <w:t>反应技术方面取得了显著的科技创新和应用推广成果，为推动相关领域的发展做出了重要贡献。在半导体催化剂生产技术方面，江苏</w:t>
            </w:r>
            <w:r>
              <w:rPr>
                <w:sz w:val="24"/>
                <w:szCs w:val="24"/>
              </w:rPr>
              <w:t>大学通过探索新型半导体材料与催化剂的结构设计，开发了一系列高效的半导体催化剂。通过优化催化剂的合成工艺和改性方法，实现了催化剂活性和稳定性的显著提升。在高通量连续流催化反应技术方面，江苏大学建立了先进的实验室规模的连续流反应系统，并开发了相应的模拟与优化软件。这些技术能够快速筛选和优化催化剂及反应条件，大幅缩短了新催化剂和新工艺的研发周期。</w:t>
            </w:r>
          </w:p>
          <w:p w14:paraId="4328A31F">
            <w:pPr>
              <w:spacing w:line="440" w:lineRule="exact"/>
              <w:jc w:val="left"/>
              <w:rPr>
                <w:bCs/>
                <w:sz w:val="24"/>
                <w:szCs w:val="24"/>
              </w:rPr>
            </w:pPr>
            <w:r>
              <w:rPr>
                <w:rFonts w:hint="eastAsia"/>
                <w:b/>
                <w:sz w:val="24"/>
                <w:szCs w:val="24"/>
              </w:rPr>
              <w:t>3. 扬州大学，</w:t>
            </w:r>
            <w:r>
              <w:rPr>
                <w:bCs/>
                <w:sz w:val="24"/>
                <w:szCs w:val="24"/>
              </w:rPr>
              <w:t>在本项目中发挥了重要的技术支撑和创新驱动作用，特别在超薄催化剂结构调控、人工智能建模、中试验证等方面作出了关键性贡献，是项目高水平完成和产业化落地的核心力量之一。在科技创新方面，扬州大学依托环境科学与工程学院和材料化学研究平台，围绕光催化剂的微观结构设计与构效关系构建，提出了多项具有原创性的研究策略。同时，扬州大学承担了项目中的人工智能平台搭建与数据库开发任务，构建了结构—性能关联预测模型，为催化剂设计与工艺优化提供了数据驱动工具，有效降低了研发成本和试验周期。</w:t>
            </w:r>
          </w:p>
          <w:p w14:paraId="7B736063">
            <w:pPr>
              <w:spacing w:line="440" w:lineRule="exact"/>
              <w:jc w:val="left"/>
              <w:rPr>
                <w:bCs/>
                <w:sz w:val="24"/>
                <w:szCs w:val="24"/>
              </w:rPr>
            </w:pPr>
            <w:r>
              <w:rPr>
                <w:rFonts w:hint="eastAsia"/>
                <w:b/>
                <w:sz w:val="24"/>
                <w:szCs w:val="24"/>
              </w:rPr>
              <w:t>4</w:t>
            </w:r>
            <w:r>
              <w:rPr>
                <w:b/>
                <w:sz w:val="24"/>
                <w:szCs w:val="24"/>
              </w:rPr>
              <w:t>.</w:t>
            </w:r>
            <w:r>
              <w:rPr>
                <w:rFonts w:hint="eastAsia"/>
                <w:b/>
                <w:sz w:val="24"/>
                <w:szCs w:val="24"/>
              </w:rPr>
              <w:t xml:space="preserve"> </w:t>
            </w:r>
            <w:r>
              <w:rPr>
                <w:b/>
                <w:sz w:val="24"/>
                <w:szCs w:val="24"/>
              </w:rPr>
              <w:t>中集中电(扬州)制氢设备有限公司</w:t>
            </w:r>
            <w:r>
              <w:rPr>
                <w:rFonts w:hint="eastAsia"/>
                <w:b/>
                <w:sz w:val="24"/>
                <w:szCs w:val="24"/>
              </w:rPr>
              <w:t>，</w:t>
            </w:r>
            <w:r>
              <w:rPr>
                <w:bCs/>
                <w:sz w:val="24"/>
                <w:szCs w:val="24"/>
              </w:rPr>
              <w:t>中集中电(扬州)制氢设备有限公司在本项目中作为重要的产业合作单位，充分发挥了其在催化装置研发、工艺集成与产业化转化等方面的工程技术优势，为本项目科技创新成果的应用落地和规模化推广提供了坚实支撑，体现了企业在“产学研用”协同创新中的关键作用。在多个场景下开展了系统性能评估与工况优化试验，验证了催化剂在实际工况下的稳定性与放大适应性，为产业化和市场化提供了关键依据</w:t>
            </w:r>
            <w:r>
              <w:rPr>
                <w:rFonts w:hint="eastAsia"/>
                <w:bCs/>
                <w:sz w:val="24"/>
                <w:szCs w:val="24"/>
              </w:rPr>
              <w:t>。</w:t>
            </w:r>
          </w:p>
        </w:tc>
      </w:tr>
    </w:tbl>
    <w:p w14:paraId="5998B621">
      <w:pPr>
        <w:spacing w:line="440" w:lineRule="exact"/>
      </w:pPr>
      <w:r>
        <w:rPr>
          <w:sz w:val="24"/>
          <w:szCs w:val="24"/>
        </w:rPr>
        <w:t>说明：</w:t>
      </w:r>
      <w:r>
        <w:rPr>
          <w:rFonts w:hint="eastAsia"/>
          <w:sz w:val="24"/>
          <w:szCs w:val="24"/>
        </w:rPr>
        <w:t>涉及国外的人和组织</w:t>
      </w:r>
      <w:r>
        <w:rPr>
          <w:sz w:val="24"/>
          <w:szCs w:val="24"/>
        </w:rPr>
        <w:t>科学技术合作奖可不用公示，其余奖项必须公示</w:t>
      </w:r>
      <w:r>
        <w:rPr>
          <w:b/>
          <w:bCs/>
          <w:sz w:val="24"/>
          <w:szCs w:val="24"/>
        </w:rPr>
        <w:t>至少7</w:t>
      </w:r>
      <w:r>
        <w:rPr>
          <w:b/>
          <w:bCs/>
          <w:sz w:val="24"/>
          <w:szCs w:val="24"/>
          <w:u w:val="wavyHeavy"/>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永中宋体">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363C">
    <w:pPr>
      <w:pStyle w:val="10"/>
    </w:pPr>
    <w:r>
      <w:pict>
        <v:shape id="文本框 1052" o:spid="_x0000_s3075" o:spt="202" type="#_x0000_t202" style="position:absolute;left:0pt;margin-top:0pt;height:18.5pt;width:76.7pt;mso-position-horizontal:outside;mso-position-horizontal-relative:margin;z-index:251659264;mso-width-relative:page;mso-height-relative:page;" filled="f" stroked="f" coordsize="21600,21600">
          <v:path/>
          <v:fill on="f" focussize="0,0"/>
          <v:stroke on="f" joinstyle="miter"/>
          <v:imagedata o:title=""/>
          <o:lock v:ext="edit"/>
          <v:textbox inset="0mm,0mm,0mm,0mm">
            <w:txbxContent>
              <w:p w14:paraId="4C384CCF">
                <w:pPr>
                  <w:snapToGrid w:val="0"/>
                  <w:rPr>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70194">
    <w:pPr>
      <w:pStyle w:val="10"/>
    </w:pPr>
    <w:r>
      <w:pict>
        <v:shape id="文本框 1050" o:spid="_x0000_s3074" o:spt="202" type="#_x0000_t202" style="position:absolute;left:0pt;margin-left:13.35pt;margin-top:-4.15pt;height:35.45pt;width:176.55pt;mso-position-horizontal-relative:margin;z-index:251659264;mso-width-relative:page;mso-height-relative:page;" filled="f" stroked="f" coordsize="21600,21600">
          <v:path/>
          <v:fill on="f" focussize="0,0"/>
          <v:stroke on="f" joinstyle="miter"/>
          <v:imagedata o:title=""/>
          <o:lock v:ext="edit"/>
          <v:textbox inset="0mm,0mm,0mm,0mm">
            <w:txbxContent>
              <w:p w14:paraId="4889AEDC">
                <w:pPr>
                  <w:snapToGrid w:val="0"/>
                  <w:ind w:right="53" w:rightChars="19"/>
                  <w:rPr>
                    <w:rFonts w:hint="eastAsia" w:ascii="宋体" w:hAnsi="宋体" w:cs="宋体"/>
                  </w:rPr>
                </w:pP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t xml:space="preserve"> —</w:t>
                </w:r>
              </w:p>
              <w:p w14:paraId="00019CFC">
                <w:pPr>
                  <w:pStyle w:val="10"/>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420"/>
  <w:evenAndOddHeaders w:val="1"/>
  <w:drawingGridHorizontalSpacing w:val="0"/>
  <w:drawingGridVerticalSpacing w:val="156"/>
  <w:doNotShadeFormData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FhN2M2YmYyNDcxNTAwMzg5ZDk0YWZkMzQ4MTgwZWIifQ=="/>
  </w:docVars>
  <w:rsids>
    <w:rsidRoot w:val="00172A27"/>
    <w:rsid w:val="00037037"/>
    <w:rsid w:val="000552AC"/>
    <w:rsid w:val="000B040C"/>
    <w:rsid w:val="00172A27"/>
    <w:rsid w:val="0018757E"/>
    <w:rsid w:val="001B2F0E"/>
    <w:rsid w:val="001D5573"/>
    <w:rsid w:val="001D6FA4"/>
    <w:rsid w:val="002230DF"/>
    <w:rsid w:val="00243953"/>
    <w:rsid w:val="00294A30"/>
    <w:rsid w:val="002B2519"/>
    <w:rsid w:val="00357D33"/>
    <w:rsid w:val="003816ED"/>
    <w:rsid w:val="003B05F7"/>
    <w:rsid w:val="003D534F"/>
    <w:rsid w:val="00412095"/>
    <w:rsid w:val="004172E9"/>
    <w:rsid w:val="005628D7"/>
    <w:rsid w:val="005718A3"/>
    <w:rsid w:val="005B425F"/>
    <w:rsid w:val="0060309D"/>
    <w:rsid w:val="006A21B5"/>
    <w:rsid w:val="006B787D"/>
    <w:rsid w:val="00732167"/>
    <w:rsid w:val="00796A7A"/>
    <w:rsid w:val="00802F94"/>
    <w:rsid w:val="008035B4"/>
    <w:rsid w:val="008E248A"/>
    <w:rsid w:val="0090586B"/>
    <w:rsid w:val="0092515A"/>
    <w:rsid w:val="00A05BA6"/>
    <w:rsid w:val="00AB7D6C"/>
    <w:rsid w:val="00AC357D"/>
    <w:rsid w:val="00AC3C57"/>
    <w:rsid w:val="00AF2CD4"/>
    <w:rsid w:val="00B84DFC"/>
    <w:rsid w:val="00B922B8"/>
    <w:rsid w:val="00C51959"/>
    <w:rsid w:val="00C5241C"/>
    <w:rsid w:val="00CE6653"/>
    <w:rsid w:val="00D1341C"/>
    <w:rsid w:val="00D15F65"/>
    <w:rsid w:val="00E12778"/>
    <w:rsid w:val="00E14589"/>
    <w:rsid w:val="00E51391"/>
    <w:rsid w:val="00E669B0"/>
    <w:rsid w:val="00F36736"/>
    <w:rsid w:val="00F426EE"/>
    <w:rsid w:val="00F61C84"/>
    <w:rsid w:val="00F97732"/>
    <w:rsid w:val="027A4AAD"/>
    <w:rsid w:val="07FF797A"/>
    <w:rsid w:val="174B782D"/>
    <w:rsid w:val="1BFF2349"/>
    <w:rsid w:val="1EFF5C14"/>
    <w:rsid w:val="41A06788"/>
    <w:rsid w:val="593F47FB"/>
    <w:rsid w:val="61FEB58E"/>
    <w:rsid w:val="766FEF13"/>
    <w:rsid w:val="7DFDADDA"/>
    <w:rsid w:val="7FB52500"/>
    <w:rsid w:val="9AFF4D53"/>
    <w:rsid w:val="B4FFC303"/>
    <w:rsid w:val="B73770AE"/>
    <w:rsid w:val="BFF5D1FD"/>
    <w:rsid w:val="D9DBC4D1"/>
    <w:rsid w:val="DE5F16F3"/>
    <w:rsid w:val="DF5701DC"/>
    <w:rsid w:val="DFFEF080"/>
    <w:rsid w:val="EEDB6F6D"/>
    <w:rsid w:val="F6C8EFA3"/>
    <w:rsid w:val="F7D75A94"/>
    <w:rsid w:val="F9D7FCF0"/>
    <w:rsid w:val="FDE9C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22"/>
    <w:qFormat/>
    <w:uiPriority w:val="9"/>
    <w:pPr>
      <w:keepNext/>
      <w:keepLines/>
      <w:spacing w:before="160" w:after="160" w:line="560" w:lineRule="exact"/>
      <w:jc w:val="center"/>
      <w:outlineLvl w:val="0"/>
    </w:pPr>
    <w:rPr>
      <w:b/>
      <w:kern w:val="44"/>
    </w:rPr>
  </w:style>
  <w:style w:type="paragraph" w:styleId="4">
    <w:name w:val="heading 2"/>
    <w:basedOn w:val="1"/>
    <w:next w:val="1"/>
    <w:link w:val="24"/>
    <w:qFormat/>
    <w:uiPriority w:val="9"/>
    <w:pPr>
      <w:keepNext/>
      <w:keepLines/>
      <w:spacing w:before="120" w:after="120" w:line="560" w:lineRule="exact"/>
      <w:jc w:val="center"/>
      <w:outlineLvl w:val="1"/>
    </w:pPr>
    <w:rPr>
      <w:rFonts w:ascii="Arial" w:hAnsi="Arial"/>
      <w:sz w:val="24"/>
    </w:rPr>
  </w:style>
  <w:style w:type="paragraph" w:styleId="5">
    <w:name w:val="heading 3"/>
    <w:basedOn w:val="1"/>
    <w:next w:val="1"/>
    <w:qFormat/>
    <w:uiPriority w:val="9"/>
    <w:pPr>
      <w:keepNext/>
      <w:keepLines/>
      <w:spacing w:before="260" w:after="260" w:line="413" w:lineRule="auto"/>
      <w:outlineLvl w:val="2"/>
    </w:pPr>
    <w:rPr>
      <w:b/>
      <w:sz w:val="32"/>
    </w:rPr>
  </w:style>
  <w:style w:type="paragraph" w:styleId="6">
    <w:name w:val="heading 4"/>
    <w:basedOn w:val="1"/>
    <w:next w:val="1"/>
    <w:qFormat/>
    <w:uiPriority w:val="9"/>
    <w:pPr>
      <w:keepNext/>
      <w:keepLines/>
      <w:spacing w:before="280" w:after="290" w:line="372" w:lineRule="auto"/>
      <w:outlineLvl w:val="3"/>
    </w:pPr>
    <w:rPr>
      <w:rFonts w:ascii="Arial" w:hAnsi="Arial" w:eastAsia="黑体"/>
      <w:b/>
    </w:rPr>
  </w:style>
  <w:style w:type="character" w:default="1" w:styleId="19">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34"/>
    <w:unhideWhenUsed/>
    <w:qFormat/>
    <w:uiPriority w:val="0"/>
    <w:pPr>
      <w:spacing w:after="120"/>
    </w:pPr>
  </w:style>
  <w:style w:type="paragraph" w:styleId="7">
    <w:name w:val="annotation text"/>
    <w:basedOn w:val="1"/>
    <w:uiPriority w:val="0"/>
    <w:pPr>
      <w:jc w:val="left"/>
    </w:pPr>
  </w:style>
  <w:style w:type="paragraph" w:styleId="8">
    <w:name w:val="Body Text Indent"/>
    <w:basedOn w:val="1"/>
    <w:unhideWhenUsed/>
    <w:qFormat/>
    <w:uiPriority w:val="99"/>
    <w:pPr>
      <w:ind w:firstLine="660"/>
    </w:pPr>
    <w:rPr>
      <w:rFonts w:eastAsia="仿宋_GB2312"/>
      <w:sz w:val="32"/>
    </w:rPr>
  </w:style>
  <w:style w:type="paragraph" w:styleId="9">
    <w:name w:val="Plain Text"/>
    <w:basedOn w:val="1"/>
    <w:qFormat/>
    <w:uiPriority w:val="0"/>
    <w:pPr>
      <w:spacing w:line="360" w:lineRule="auto"/>
      <w:ind w:firstLine="480" w:firstLineChars="200"/>
    </w:pPr>
    <w:rPr>
      <w:rFonts w:ascii="仿宋_GB2312"/>
      <w:sz w:val="24"/>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unhideWhenUsed/>
    <w:qFormat/>
    <w:uiPriority w:val="39"/>
  </w:style>
  <w:style w:type="paragraph" w:styleId="13">
    <w:name w:val="Body Text Indent 3"/>
    <w:basedOn w:val="1"/>
    <w:qFormat/>
    <w:uiPriority w:val="0"/>
    <w:pPr>
      <w:ind w:firstLine="420" w:firstLineChars="200"/>
    </w:pPr>
    <w:rPr>
      <w:sz w:val="21"/>
    </w:rPr>
  </w:style>
  <w:style w:type="paragraph" w:styleId="14">
    <w:name w:val="toc 2"/>
    <w:basedOn w:val="1"/>
    <w:next w:val="1"/>
    <w:unhideWhenUsed/>
    <w:qFormat/>
    <w:uiPriority w:val="39"/>
    <w:pPr>
      <w:ind w:left="420" w:leftChars="200"/>
    </w:pPr>
  </w:style>
  <w:style w:type="paragraph" w:styleId="15">
    <w:name w:val="Normal (Web)"/>
    <w:basedOn w:val="1"/>
    <w:unhideWhenUsed/>
    <w:uiPriority w:val="99"/>
    <w:rPr>
      <w:sz w:val="24"/>
    </w:rPr>
  </w:style>
  <w:style w:type="paragraph" w:styleId="16">
    <w:name w:val="index 1"/>
    <w:basedOn w:val="1"/>
    <w:next w:val="1"/>
    <w:unhideWhenUsed/>
    <w:qFormat/>
    <w:uiPriority w:val="99"/>
    <w:pPr>
      <w:widowControl/>
      <w:snapToGrid w:val="0"/>
    </w:pPr>
  </w:style>
  <w:style w:type="paragraph" w:styleId="17">
    <w:name w:val="Title"/>
    <w:basedOn w:val="1"/>
    <w:next w:val="1"/>
    <w:qFormat/>
    <w:uiPriority w:val="0"/>
    <w:pPr>
      <w:spacing w:before="240" w:after="60"/>
      <w:jc w:val="center"/>
      <w:outlineLvl w:val="0"/>
    </w:pPr>
    <w:rPr>
      <w:rFonts w:ascii="Cambria" w:hAnsi="Cambria" w:eastAsia="黑体"/>
      <w:b/>
      <w:bCs/>
      <w:sz w:val="52"/>
      <w:szCs w:val="32"/>
    </w:rPr>
  </w:style>
  <w:style w:type="character" w:styleId="20">
    <w:name w:val="page number"/>
    <w:qFormat/>
    <w:uiPriority w:val="0"/>
  </w:style>
  <w:style w:type="character" w:styleId="21">
    <w:name w:val="annotation reference"/>
    <w:unhideWhenUsed/>
    <w:qFormat/>
    <w:uiPriority w:val="99"/>
    <w:rPr>
      <w:sz w:val="21"/>
      <w:szCs w:val="21"/>
    </w:rPr>
  </w:style>
  <w:style w:type="character" w:customStyle="1" w:styleId="22">
    <w:name w:val="标题 1 字符"/>
    <w:link w:val="3"/>
    <w:qFormat/>
    <w:uiPriority w:val="0"/>
    <w:rPr>
      <w:b/>
      <w:kern w:val="44"/>
    </w:rPr>
  </w:style>
  <w:style w:type="character" w:customStyle="1" w:styleId="23">
    <w:name w:val="标题 2 Char"/>
    <w:qFormat/>
    <w:uiPriority w:val="9"/>
    <w:rPr>
      <w:rFonts w:ascii="Arial" w:hAnsi="Arial"/>
      <w:kern w:val="2"/>
      <w:sz w:val="24"/>
      <w:lang w:val="en-US" w:eastAsia="zh-CN" w:bidi="ar-SA"/>
    </w:rPr>
  </w:style>
  <w:style w:type="character" w:customStyle="1" w:styleId="24">
    <w:name w:val="标题 2 字符"/>
    <w:link w:val="4"/>
    <w:qFormat/>
    <w:uiPriority w:val="9"/>
    <w:rPr>
      <w:rFonts w:ascii="Arial" w:hAnsi="Arial"/>
      <w:sz w:val="24"/>
    </w:rPr>
  </w:style>
  <w:style w:type="character" w:customStyle="1" w:styleId="25">
    <w:name w:val="title1"/>
    <w:qFormat/>
    <w:uiPriority w:val="0"/>
    <w:rPr>
      <w:b/>
      <w:bCs/>
      <w:color w:val="999900"/>
      <w:sz w:val="24"/>
      <w:szCs w:val="24"/>
    </w:rPr>
  </w:style>
  <w:style w:type="character" w:customStyle="1" w:styleId="26">
    <w:name w:val="fontstyle01"/>
    <w:qFormat/>
    <w:uiPriority w:val="0"/>
    <w:rPr>
      <w:rFonts w:hint="eastAsia" w:ascii="宋体" w:hAnsi="宋体" w:eastAsia="宋体"/>
      <w:color w:val="000000"/>
      <w:sz w:val="44"/>
      <w:szCs w:val="44"/>
    </w:rPr>
  </w:style>
  <w:style w:type="paragraph" w:customStyle="1" w:styleId="27">
    <w:name w:val="_Style 26"/>
    <w:unhideWhenUsed/>
    <w:qFormat/>
    <w:uiPriority w:val="99"/>
    <w:rPr>
      <w:rFonts w:ascii="Times New Roman" w:hAnsi="Times New Roman" w:eastAsia="宋体" w:cs="Times New Roman"/>
      <w:kern w:val="2"/>
      <w:sz w:val="28"/>
      <w:lang w:val="en-US" w:eastAsia="zh-CN" w:bidi="ar-SA"/>
    </w:rPr>
  </w:style>
  <w:style w:type="paragraph" w:customStyle="1" w:styleId="28">
    <w:name w:val="_Style 8"/>
    <w:basedOn w:val="1"/>
    <w:next w:val="1"/>
    <w:qFormat/>
    <w:uiPriority w:val="0"/>
    <w:pPr>
      <w:spacing w:line="360" w:lineRule="auto"/>
      <w:ind w:firstLine="480" w:firstLineChars="200"/>
    </w:pPr>
    <w:rPr>
      <w:rFonts w:ascii="仿宋_GB2312"/>
      <w:sz w:val="24"/>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样式1"/>
    <w:basedOn w:val="4"/>
    <w:next w:val="1"/>
    <w:qFormat/>
    <w:uiPriority w:val="0"/>
    <w:rPr>
      <w:b/>
      <w:sz w:val="28"/>
    </w:rPr>
  </w:style>
  <w:style w:type="paragraph" w:customStyle="1" w:styleId="31">
    <w:name w:val="Default"/>
    <w:basedOn w:val="1"/>
    <w:qFormat/>
    <w:uiPriority w:val="0"/>
    <w:pPr>
      <w:autoSpaceDE w:val="0"/>
      <w:autoSpaceDN w:val="0"/>
      <w:adjustRightInd w:val="0"/>
      <w:jc w:val="left"/>
    </w:pPr>
    <w:rPr>
      <w:rFonts w:ascii="方正仿宋_GBK" w:hAnsi="方正仿宋_GBK"/>
    </w:rPr>
  </w:style>
  <w:style w:type="paragraph" w:customStyle="1" w:styleId="32">
    <w:name w:val="样式2"/>
    <w:basedOn w:val="1"/>
    <w:qFormat/>
    <w:uiPriority w:val="0"/>
    <w:pPr>
      <w:adjustRightInd w:val="0"/>
      <w:snapToGrid w:val="0"/>
      <w:spacing w:line="300" w:lineRule="auto"/>
      <w:ind w:firstLine="600" w:firstLineChars="200"/>
      <w:jc w:val="left"/>
    </w:pPr>
    <w:rPr>
      <w:rFonts w:hint="eastAsia" w:ascii="仿宋_GB2312" w:hAnsi="永中宋体" w:eastAsia="仿宋_GB2312"/>
      <w:sz w:val="32"/>
      <w:szCs w:val="32"/>
    </w:rPr>
  </w:style>
  <w:style w:type="paragraph" w:customStyle="1" w:styleId="33">
    <w:name w:val="Revision"/>
    <w:hidden/>
    <w:unhideWhenUsed/>
    <w:uiPriority w:val="99"/>
    <w:rPr>
      <w:rFonts w:ascii="Times New Roman" w:hAnsi="Times New Roman" w:eastAsia="宋体" w:cs="Times New Roman"/>
      <w:kern w:val="2"/>
      <w:sz w:val="28"/>
      <w:lang w:val="en-US" w:eastAsia="zh-CN" w:bidi="ar-SA"/>
    </w:rPr>
  </w:style>
  <w:style w:type="character" w:customStyle="1" w:styleId="34">
    <w:name w:val="正文文本 字符"/>
    <w:link w:val="2"/>
    <w:qFormat/>
    <w:uiPriority w:val="0"/>
    <w:rPr>
      <w:kern w:val="2"/>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4030</Words>
  <Characters>5571</Characters>
  <Lines>117</Lines>
  <Paragraphs>47</Paragraphs>
  <TotalTime>464</TotalTime>
  <ScaleCrop>false</ScaleCrop>
  <LinksUpToDate>false</LinksUpToDate>
  <CharactersWithSpaces>5824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2018-04-06T03:05:00Z</dcterms:created>
  <dc:creator>唐欢</dc:creator>
  <cp:lastModifiedBy>借山而居</cp:lastModifiedBy>
  <cp:lastPrinted>2025-06-09T22:28:00Z</cp:lastPrinted>
  <dcterms:modified xsi:type="dcterms:W3CDTF">2026-02-13T11:21:33Z</dcterms:modified>
  <dc:title>海南省科学技术奖励提名工作手册</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D1DD2C7F1663447E886BA58B83E3086C_13</vt:lpwstr>
  </property>
  <property fmtid="{D5CDD505-2E9C-101B-9397-08002B2CF9AE}" pid="4" name="KSOTemplateDocerSaveRecord">
    <vt:lpwstr>eyJoZGlkIjoiYTA3ZjU5OTVkMGY4ODQxN2NmMmRhOTYwYjcxYmRkNDEiLCJ1c2VySWQiOiI1NDYxNjEyMzAifQ==</vt:lpwstr>
  </property>
</Properties>
</file>