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9E140">
      <w:pPr>
        <w:spacing w:line="100" w:lineRule="exact"/>
        <w:jc w:val="center"/>
        <w:rPr>
          <w:color w:val="000000"/>
          <w:sz w:val="36"/>
          <w:szCs w:val="36"/>
        </w:rPr>
      </w:pPr>
      <w:bookmarkStart w:id="0" w:name="_Toc530473016"/>
    </w:p>
    <w:bookmarkEnd w:id="0"/>
    <w:p w14:paraId="77D34085">
      <w:pPr>
        <w:spacing w:line="740" w:lineRule="exact"/>
        <w:jc w:val="center"/>
        <w:outlineLvl w:val="2"/>
        <w:rPr>
          <w:rFonts w:eastAsia="仿宋_GB2312"/>
          <w:color w:val="000000"/>
          <w:sz w:val="32"/>
          <w:szCs w:val="32"/>
        </w:rPr>
      </w:pPr>
      <w:bookmarkStart w:id="1" w:name="_Toc1827832502"/>
      <w:bookmarkStart w:id="2" w:name="_Toc175603519"/>
      <w:bookmarkStart w:id="3" w:name="_Toc2124023149"/>
      <w:bookmarkStart w:id="4" w:name="_Toc1099067205"/>
      <w:bookmarkStart w:id="5" w:name="_Toc2131911538"/>
      <w:bookmarkStart w:id="6" w:name="_Toc1423068732"/>
      <w:bookmarkStart w:id="7" w:name="_Toc1550903188"/>
      <w:bookmarkStart w:id="8" w:name="_Toc357348418"/>
      <w:r>
        <w:rPr>
          <w:rFonts w:eastAsia="黑体"/>
          <w:color w:val="000000"/>
          <w:sz w:val="32"/>
          <w:szCs w:val="32"/>
        </w:rPr>
        <w:t>202</w:t>
      </w:r>
      <w:r>
        <w:rPr>
          <w:rFonts w:hint="eastAsia" w:eastAsia="黑体"/>
          <w:color w:val="000000"/>
          <w:sz w:val="32"/>
          <w:szCs w:val="32"/>
          <w:lang w:val="en-US" w:eastAsia="zh-CN"/>
        </w:rPr>
        <w:t>5</w:t>
      </w:r>
      <w:r>
        <w:rPr>
          <w:rFonts w:eastAsia="黑体"/>
          <w:color w:val="000000"/>
          <w:sz w:val="32"/>
          <w:szCs w:val="32"/>
        </w:rPr>
        <w:t>年度海南省科学技术奖提名公示内容</w:t>
      </w:r>
      <w:bookmarkEnd w:id="1"/>
      <w:bookmarkEnd w:id="2"/>
      <w:bookmarkEnd w:id="3"/>
      <w:bookmarkEnd w:id="4"/>
      <w:bookmarkEnd w:id="5"/>
      <w:bookmarkEnd w:id="6"/>
      <w:bookmarkEnd w:id="7"/>
      <w:bookmarkEnd w:id="8"/>
    </w:p>
    <w:p w14:paraId="7E5F1A36">
      <w:pPr>
        <w:spacing w:line="440" w:lineRule="exact"/>
        <w:jc w:val="center"/>
        <w:rPr>
          <w:rFonts w:hint="eastAsia" w:ascii="宋体" w:hAnsi="宋体" w:cs="宋体"/>
          <w:szCs w:val="24"/>
        </w:rPr>
      </w:pPr>
      <w:r>
        <w:rPr>
          <w:rFonts w:hint="eastAsia" w:ascii="宋体" w:hAnsi="宋体" w:cs="宋体"/>
          <w:szCs w:val="24"/>
        </w:rPr>
        <w:t>（适用于项目主要完成单位、主要完成人所在单位）</w:t>
      </w:r>
    </w:p>
    <w:p w14:paraId="217D790A">
      <w:pPr>
        <w:spacing w:line="440" w:lineRule="exact"/>
        <w:rPr>
          <w:rFonts w:hint="eastAsia" w:ascii="宋体" w:hAnsi="宋体" w:cs="宋体"/>
          <w:szCs w:val="24"/>
        </w:rPr>
      </w:pPr>
    </w:p>
    <w:tbl>
      <w:tblPr>
        <w:tblStyle w:val="6"/>
        <w:tblW w:w="9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7051"/>
      </w:tblGrid>
      <w:tr w14:paraId="04152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2269" w:type="dxa"/>
            <w:vAlign w:val="center"/>
          </w:tcPr>
          <w:p w14:paraId="403A051E">
            <w:pPr>
              <w:jc w:val="center"/>
              <w:rPr>
                <w:rStyle w:val="9"/>
                <w:color w:val="auto"/>
              </w:rPr>
            </w:pPr>
            <w:bookmarkStart w:id="10" w:name="_GoBack"/>
            <w:bookmarkEnd w:id="10"/>
            <w:r>
              <w:rPr>
                <w:rStyle w:val="9"/>
                <w:color w:val="auto"/>
              </w:rPr>
              <w:t>项目名称</w:t>
            </w:r>
          </w:p>
        </w:tc>
        <w:tc>
          <w:tcPr>
            <w:tcW w:w="7051" w:type="dxa"/>
            <w:vAlign w:val="center"/>
          </w:tcPr>
          <w:p w14:paraId="0CE3392D">
            <w:pPr>
              <w:jc w:val="center"/>
              <w:rPr>
                <w:rStyle w:val="9"/>
                <w:b w:val="0"/>
                <w:color w:val="auto"/>
                <w:sz w:val="28"/>
              </w:rPr>
            </w:pPr>
            <w:r>
              <w:rPr>
                <w:rStyle w:val="9"/>
                <w:b w:val="0"/>
                <w:color w:val="auto"/>
              </w:rPr>
              <w:t>槟榔</w:t>
            </w:r>
            <w:r>
              <w:rPr>
                <w:rStyle w:val="9"/>
                <w:rFonts w:hint="eastAsia"/>
                <w:b w:val="0"/>
                <w:color w:val="auto"/>
              </w:rPr>
              <w:t>中</w:t>
            </w:r>
            <w:r>
              <w:rPr>
                <w:rStyle w:val="9"/>
                <w:b w:val="0"/>
                <w:color w:val="auto"/>
              </w:rPr>
              <w:t>生物碱等</w:t>
            </w:r>
            <w:r>
              <w:rPr>
                <w:rStyle w:val="9"/>
                <w:rFonts w:hint="eastAsia"/>
                <w:b w:val="0"/>
                <w:color w:val="auto"/>
              </w:rPr>
              <w:t>生物活性物质</w:t>
            </w:r>
            <w:r>
              <w:rPr>
                <w:rStyle w:val="9"/>
                <w:b w:val="0"/>
                <w:color w:val="auto"/>
              </w:rPr>
              <w:t>的生物合成及调控机制</w:t>
            </w:r>
            <w:r>
              <w:rPr>
                <w:rStyle w:val="9"/>
                <w:rFonts w:hint="eastAsia"/>
                <w:b w:val="0"/>
                <w:color w:val="auto"/>
              </w:rPr>
              <w:t>研究</w:t>
            </w:r>
          </w:p>
        </w:tc>
      </w:tr>
      <w:tr w14:paraId="2F21BB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2269" w:type="dxa"/>
            <w:vAlign w:val="center"/>
          </w:tcPr>
          <w:p w14:paraId="3BAD10BF">
            <w:pPr>
              <w:jc w:val="center"/>
              <w:rPr>
                <w:rStyle w:val="9"/>
                <w:color w:val="auto"/>
              </w:rPr>
            </w:pPr>
            <w:r>
              <w:rPr>
                <w:rStyle w:val="9"/>
                <w:color w:val="auto"/>
              </w:rPr>
              <w:t>提名奖项及等级</w:t>
            </w:r>
          </w:p>
        </w:tc>
        <w:tc>
          <w:tcPr>
            <w:tcW w:w="7051" w:type="dxa"/>
            <w:vAlign w:val="center"/>
          </w:tcPr>
          <w:p w14:paraId="79683E0F">
            <w:pPr>
              <w:jc w:val="center"/>
              <w:rPr>
                <w:rStyle w:val="9"/>
                <w:b w:val="0"/>
                <w:color w:val="auto"/>
                <w:sz w:val="28"/>
              </w:rPr>
            </w:pPr>
            <w:r>
              <w:rPr>
                <w:rStyle w:val="9"/>
                <w:b w:val="0"/>
                <w:color w:val="auto"/>
              </w:rPr>
              <w:t>省自然科学奖/二等奖</w:t>
            </w:r>
          </w:p>
        </w:tc>
      </w:tr>
      <w:tr w14:paraId="7AD77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8" w:hRule="atLeast"/>
          <w:jc w:val="center"/>
        </w:trPr>
        <w:tc>
          <w:tcPr>
            <w:tcW w:w="2269" w:type="dxa"/>
            <w:vAlign w:val="center"/>
          </w:tcPr>
          <w:p w14:paraId="3C103BC8">
            <w:pPr>
              <w:jc w:val="center"/>
              <w:rPr>
                <w:b/>
                <w:bCs/>
                <w:sz w:val="24"/>
                <w:szCs w:val="24"/>
                <w:lang w:val="en"/>
              </w:rPr>
            </w:pPr>
            <w:r>
              <w:rPr>
                <w:rStyle w:val="9"/>
                <w:color w:val="auto"/>
              </w:rPr>
              <w:t>提名者</w:t>
            </w:r>
          </w:p>
        </w:tc>
        <w:tc>
          <w:tcPr>
            <w:tcW w:w="7051" w:type="dxa"/>
            <w:vAlign w:val="center"/>
          </w:tcPr>
          <w:p w14:paraId="55D22B64">
            <w:pPr>
              <w:contextualSpacing/>
              <w:jc w:val="center"/>
              <w:rPr>
                <w:bCs/>
                <w:sz w:val="24"/>
                <w:szCs w:val="24"/>
              </w:rPr>
            </w:pPr>
            <w:r>
              <w:rPr>
                <w:rFonts w:hint="eastAsia" w:cs="Times New Roman"/>
                <w:bCs/>
                <w:sz w:val="24"/>
                <w:szCs w:val="24"/>
                <w:lang w:val="en-US" w:eastAsia="zh-CN"/>
              </w:rPr>
              <w:t>海南省科学技术协会</w:t>
            </w:r>
          </w:p>
        </w:tc>
      </w:tr>
      <w:tr w14:paraId="0D03CB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7" w:hRule="atLeast"/>
          <w:jc w:val="center"/>
        </w:trPr>
        <w:tc>
          <w:tcPr>
            <w:tcW w:w="2269" w:type="dxa"/>
            <w:tcBorders>
              <w:right w:val="single" w:color="auto" w:sz="4" w:space="0"/>
            </w:tcBorders>
            <w:vAlign w:val="center"/>
          </w:tcPr>
          <w:p w14:paraId="37E1B6D8">
            <w:pPr>
              <w:spacing w:line="440" w:lineRule="exact"/>
              <w:jc w:val="center"/>
              <w:rPr>
                <w:b/>
                <w:bCs/>
                <w:sz w:val="24"/>
                <w:szCs w:val="24"/>
              </w:rPr>
            </w:pPr>
            <w:r>
              <w:rPr>
                <w:b/>
                <w:bCs/>
                <w:sz w:val="24"/>
                <w:szCs w:val="24"/>
              </w:rPr>
              <w:t>项目简介（1200字以内）</w:t>
            </w:r>
          </w:p>
        </w:tc>
        <w:tc>
          <w:tcPr>
            <w:tcW w:w="7051" w:type="dxa"/>
            <w:tcBorders>
              <w:left w:val="single" w:color="auto" w:sz="4" w:space="0"/>
            </w:tcBorders>
            <w:vAlign w:val="center"/>
          </w:tcPr>
          <w:p w14:paraId="7D637244">
            <w:pPr>
              <w:widowControl/>
              <w:spacing w:line="300" w:lineRule="auto"/>
              <w:ind w:firstLine="480" w:firstLineChars="200"/>
              <w:rPr>
                <w:rFonts w:hint="default" w:ascii="Times New Roman" w:hAnsi="Times New Roman" w:cs="Times New Roman"/>
                <w:color w:val="000000"/>
                <w:kern w:val="0"/>
                <w:sz w:val="24"/>
                <w:szCs w:val="24"/>
                <w:lang w:bidi="ar"/>
              </w:rPr>
            </w:pPr>
            <w:r>
              <w:rPr>
                <w:color w:val="000000"/>
                <w:kern w:val="0"/>
                <w:sz w:val="24"/>
                <w:szCs w:val="24"/>
                <w:lang w:bidi="ar"/>
              </w:rPr>
              <w:t>槟榔（</w:t>
            </w:r>
            <w:r>
              <w:rPr>
                <w:i/>
                <w:iCs/>
                <w:color w:val="000000"/>
                <w:kern w:val="0"/>
                <w:sz w:val="24"/>
                <w:szCs w:val="24"/>
                <w:lang w:bidi="ar"/>
              </w:rPr>
              <w:t>Areca catechu</w:t>
            </w:r>
            <w:r>
              <w:rPr>
                <w:color w:val="000000"/>
                <w:kern w:val="0"/>
                <w:sz w:val="24"/>
                <w:szCs w:val="24"/>
                <w:lang w:bidi="ar"/>
              </w:rPr>
              <w:t xml:space="preserve"> L.）是海南最具特色的热带经济作物之一，被列为省委省政府重点发展的"六棵树"战略产业核心树种。作为</w:t>
            </w:r>
            <w:r>
              <w:rPr>
                <w:rFonts w:hint="eastAsia"/>
                <w:color w:val="000000"/>
                <w:kern w:val="0"/>
                <w:sz w:val="24"/>
                <w:szCs w:val="24"/>
                <w:lang w:bidi="ar"/>
              </w:rPr>
              <w:t>“</w:t>
            </w:r>
            <w:r>
              <w:rPr>
                <w:color w:val="000000"/>
                <w:kern w:val="0"/>
                <w:sz w:val="24"/>
                <w:szCs w:val="24"/>
                <w:lang w:bidi="ar"/>
              </w:rPr>
              <w:t>四大南药</w:t>
            </w:r>
            <w:r>
              <w:rPr>
                <w:rFonts w:hint="eastAsia"/>
                <w:color w:val="000000"/>
                <w:kern w:val="0"/>
                <w:sz w:val="24"/>
                <w:szCs w:val="24"/>
                <w:lang w:bidi="ar"/>
              </w:rPr>
              <w:t>”</w:t>
            </w:r>
            <w:r>
              <w:rPr>
                <w:color w:val="000000"/>
                <w:kern w:val="0"/>
                <w:sz w:val="24"/>
                <w:szCs w:val="24"/>
                <w:lang w:bidi="ar"/>
              </w:rPr>
              <w:t>之首，其果实富含以槟榔碱为代表的多种生物碱，以及黄酮类、多酚类等</w:t>
            </w:r>
            <w:r>
              <w:rPr>
                <w:rFonts w:hint="eastAsia"/>
                <w:color w:val="000000"/>
                <w:kern w:val="0"/>
                <w:sz w:val="24"/>
                <w:szCs w:val="24"/>
                <w:lang w:bidi="ar"/>
              </w:rPr>
              <w:t>多种</w:t>
            </w:r>
            <w:r>
              <w:rPr>
                <w:color w:val="000000"/>
                <w:kern w:val="0"/>
                <w:sz w:val="24"/>
                <w:szCs w:val="24"/>
                <w:lang w:bidi="ar"/>
              </w:rPr>
              <w:t>高价值药用次生代谢产物，</w:t>
            </w:r>
            <w:r>
              <w:rPr>
                <w:rFonts w:hint="eastAsia"/>
                <w:color w:val="000000"/>
                <w:kern w:val="0"/>
                <w:sz w:val="24"/>
                <w:szCs w:val="24"/>
                <w:lang w:bidi="ar"/>
              </w:rPr>
              <w:t>使其不仅在作为一种传统咀嚼品和嗜好品上具有巨大经济价值，而且在</w:t>
            </w:r>
            <w:r>
              <w:rPr>
                <w:color w:val="000000"/>
                <w:kern w:val="0"/>
                <w:sz w:val="24"/>
                <w:szCs w:val="24"/>
                <w:lang w:bidi="ar"/>
              </w:rPr>
              <w:t>神经疾病治疗、抗寄生虫、抗氧化等领域具有重大应用潜力。然而，</w:t>
            </w:r>
            <w:r>
              <w:rPr>
                <w:rFonts w:hint="eastAsia"/>
                <w:color w:val="000000"/>
                <w:kern w:val="0"/>
                <w:sz w:val="24"/>
                <w:szCs w:val="24"/>
                <w:lang w:bidi="ar"/>
              </w:rPr>
              <w:t>由于其</w:t>
            </w:r>
            <w:r>
              <w:rPr>
                <w:color w:val="000000"/>
                <w:kern w:val="0"/>
                <w:sz w:val="24"/>
                <w:szCs w:val="24"/>
                <w:lang w:bidi="ar"/>
              </w:rPr>
              <w:t>药用成分</w:t>
            </w:r>
            <w:r>
              <w:rPr>
                <w:rFonts w:hint="eastAsia"/>
                <w:color w:val="000000"/>
                <w:kern w:val="0"/>
                <w:sz w:val="24"/>
                <w:szCs w:val="24"/>
                <w:lang w:bidi="ar"/>
              </w:rPr>
              <w:t>复杂，含量变化规律不清，且</w:t>
            </w:r>
            <w:r>
              <w:rPr>
                <w:color w:val="000000"/>
                <w:kern w:val="0"/>
                <w:sz w:val="24"/>
                <w:szCs w:val="24"/>
                <w:lang w:bidi="ar"/>
              </w:rPr>
              <w:t>合成机制不明</w:t>
            </w:r>
            <w:r>
              <w:rPr>
                <w:rFonts w:hint="eastAsia"/>
                <w:color w:val="000000"/>
                <w:kern w:val="0"/>
                <w:sz w:val="24"/>
                <w:szCs w:val="24"/>
                <w:lang w:bidi="ar"/>
              </w:rPr>
              <w:t>等原因，不仅难以回答社会舆论对槟榔产业的争议，也难以进行进一步的</w:t>
            </w:r>
            <w:r>
              <w:rPr>
                <w:color w:val="000000"/>
                <w:kern w:val="0"/>
                <w:sz w:val="24"/>
                <w:szCs w:val="24"/>
                <w:lang w:bidi="ar"/>
              </w:rPr>
              <w:t>产业升级。</w:t>
            </w:r>
            <w:r>
              <w:rPr>
                <w:rFonts w:hint="eastAsia"/>
                <w:sz w:val="24"/>
                <w:szCs w:val="24"/>
              </w:rPr>
              <w:t>为此，我们对槟榔生物碱等次生代谢产物成分进行了精细分析，对槟榔成熟过程中这些产物的变化进行跟踪研究，并对它们的生物合成及调控的分子机制进行了全面解析。近年来，</w:t>
            </w:r>
            <w:r>
              <w:rPr>
                <w:rFonts w:hint="default" w:ascii="Times New Roman" w:hAnsi="Times New Roman" w:cs="Times New Roman"/>
                <w:sz w:val="24"/>
                <w:szCs w:val="24"/>
              </w:rPr>
              <w:t>在以下方面</w:t>
            </w:r>
            <w:r>
              <w:rPr>
                <w:rFonts w:hint="default" w:ascii="Times New Roman" w:hAnsi="Times New Roman" w:cs="Times New Roman"/>
                <w:color w:val="000000"/>
                <w:kern w:val="0"/>
                <w:sz w:val="24"/>
                <w:szCs w:val="24"/>
                <w:lang w:bidi="ar"/>
              </w:rPr>
              <w:t>取得了系列重要的科学研究成果，具体如下：</w:t>
            </w:r>
          </w:p>
          <w:p w14:paraId="6B2395F5">
            <w:pPr>
              <w:widowControl/>
              <w:numPr>
                <w:ilvl w:val="0"/>
                <w:numId w:val="1"/>
              </w:numPr>
              <w:spacing w:line="300" w:lineRule="auto"/>
              <w:rPr>
                <w:rFonts w:hint="default" w:ascii="Times New Roman" w:hAnsi="Times New Roman" w:cs="Times New Roman"/>
                <w:sz w:val="24"/>
                <w:szCs w:val="24"/>
              </w:rPr>
            </w:pPr>
            <w:r>
              <w:rPr>
                <w:rFonts w:hint="default" w:ascii="Times New Roman" w:hAnsi="Times New Roman" w:cs="Times New Roman"/>
                <w:color w:val="000000"/>
                <w:kern w:val="0"/>
                <w:sz w:val="24"/>
                <w:szCs w:val="24"/>
                <w:lang w:bidi="ar"/>
              </w:rPr>
              <w:t>利用PacBio和HiC测序技术组装了大小为2.73 Gb的高质量槟榔参考基因组，确定了槟榔的进化地位，为挖掘槟榔次级代谢产物合成调控相关基因提供了基本数据背景。</w:t>
            </w:r>
          </w:p>
          <w:p w14:paraId="4F3CD090">
            <w:pPr>
              <w:widowControl/>
              <w:numPr>
                <w:ilvl w:val="0"/>
                <w:numId w:val="1"/>
              </w:numPr>
              <w:spacing w:line="300" w:lineRule="auto"/>
              <w:ind w:left="0" w:leftChars="0" w:firstLine="0" w:firstLineChars="0"/>
              <w:rPr>
                <w:rFonts w:hint="default" w:ascii="Times New Roman" w:hAnsi="Times New Roman" w:cs="Times New Roman"/>
                <w:color w:val="000000"/>
                <w:kern w:val="0"/>
                <w:sz w:val="24"/>
                <w:szCs w:val="24"/>
                <w:lang w:bidi="ar"/>
              </w:rPr>
            </w:pPr>
            <w:r>
              <w:rPr>
                <w:rFonts w:hint="default" w:ascii="Times New Roman" w:hAnsi="Times New Roman" w:cs="Times New Roman"/>
                <w:color w:val="000000"/>
                <w:kern w:val="0"/>
                <w:sz w:val="24"/>
                <w:szCs w:val="24"/>
                <w:lang w:bidi="ar"/>
              </w:rPr>
              <w:t>首次利用代谢组学技术，建立了槟榔果实中共789个次生代谢产物的数据库。并且还在槟榔中率先检测到葫芦巴碱，大麦芽碱、槐定碱、咖啡因、可可碱、巢菜碱等多种生物碱成分。</w:t>
            </w:r>
          </w:p>
          <w:p w14:paraId="6B1A0831">
            <w:pPr>
              <w:pStyle w:val="2"/>
              <w:numPr>
                <w:ilvl w:val="0"/>
                <w:numId w:val="1"/>
              </w:numPr>
              <w:spacing w:line="300" w:lineRule="auto"/>
              <w:ind w:left="0" w:leftChars="0" w:firstLine="0" w:firstLineChars="0"/>
              <w:jc w:val="both"/>
              <w:rPr>
                <w:rFonts w:hint="default" w:ascii="Times New Roman" w:hAnsi="Times New Roman" w:cs="Times New Roman"/>
                <w:color w:val="000000"/>
                <w:kern w:val="0"/>
                <w:sz w:val="24"/>
                <w:szCs w:val="24"/>
                <w:lang w:bidi="ar"/>
              </w:rPr>
            </w:pPr>
            <w:r>
              <w:rPr>
                <w:rFonts w:hint="default" w:ascii="Times New Roman" w:hAnsi="Times New Roman" w:cs="Times New Roman"/>
                <w:color w:val="000000"/>
                <w:kern w:val="0"/>
                <w:sz w:val="24"/>
                <w:szCs w:val="24"/>
                <w:lang w:bidi="ar"/>
              </w:rPr>
              <w:t>建立槟榔碱、槟榔次碱、去甲槟榔碱、去甲槟榔次碱等传统槟榔生物碱以及上述新发现生物碱的萃取和检测体系。还发现首次此在槟榔外的另一种槟榔属植物，三药槟榔（</w:t>
            </w:r>
            <w:bookmarkStart w:id="9" w:name="OLE_LINK3"/>
            <w:r>
              <w:rPr>
                <w:rFonts w:hint="default" w:ascii="Times New Roman" w:hAnsi="Times New Roman" w:cs="Times New Roman"/>
                <w:i/>
                <w:iCs/>
                <w:color w:val="000000"/>
                <w:kern w:val="0"/>
                <w:sz w:val="24"/>
                <w:szCs w:val="24"/>
                <w:lang w:bidi="ar"/>
              </w:rPr>
              <w:t>Areca triandra</w:t>
            </w:r>
            <w:bookmarkEnd w:id="9"/>
            <w:r>
              <w:rPr>
                <w:rFonts w:hint="default" w:ascii="Times New Roman" w:hAnsi="Times New Roman" w:cs="Times New Roman"/>
                <w:color w:val="000000"/>
                <w:kern w:val="0"/>
                <w:sz w:val="24"/>
                <w:szCs w:val="24"/>
                <w:lang w:bidi="ar"/>
              </w:rPr>
              <w:t>）中发现了槟榔碱。这不仅打破了唯有槟榔含有槟榔碱的成见，还拓宽了槟榔生物碱的来源，为槟榔生物碱生物合成的研究提供科学参考。</w:t>
            </w:r>
          </w:p>
          <w:p w14:paraId="60B91E82">
            <w:pPr>
              <w:pStyle w:val="2"/>
              <w:numPr>
                <w:ilvl w:val="0"/>
                <w:numId w:val="1"/>
              </w:numPr>
              <w:spacing w:line="300" w:lineRule="auto"/>
              <w:ind w:left="0" w:leftChars="0" w:firstLine="0" w:firstLineChars="0"/>
              <w:jc w:val="both"/>
              <w:rPr>
                <w:rFonts w:hint="default" w:ascii="Times New Roman" w:hAnsi="Times New Roman" w:cs="Times New Roman"/>
                <w:color w:val="000000"/>
                <w:kern w:val="0"/>
                <w:sz w:val="24"/>
                <w:szCs w:val="24"/>
                <w:lang w:bidi="ar"/>
              </w:rPr>
            </w:pPr>
            <w:r>
              <w:rPr>
                <w:rFonts w:hint="default" w:ascii="Times New Roman" w:hAnsi="Times New Roman" w:cs="Times New Roman"/>
                <w:color w:val="000000"/>
                <w:kern w:val="0"/>
                <w:sz w:val="24"/>
                <w:szCs w:val="24"/>
                <w:lang w:bidi="ar"/>
              </w:rPr>
              <w:t>首次利用质谱成像技术解析槟榔果实中多种生物碱的空间分布规律，阐明了上述槟榔生物碱在槟榔果实不同发育阶段的定位变化，为槟榔利用的增益减害提供了新理论基础。</w:t>
            </w:r>
          </w:p>
          <w:p w14:paraId="38D451D8">
            <w:pPr>
              <w:pStyle w:val="2"/>
              <w:numPr>
                <w:ilvl w:val="0"/>
                <w:numId w:val="1"/>
              </w:numPr>
              <w:spacing w:line="300" w:lineRule="auto"/>
              <w:ind w:left="0" w:leftChars="0" w:firstLine="0" w:firstLineChars="0"/>
              <w:jc w:val="both"/>
              <w:rPr>
                <w:rFonts w:hint="default" w:ascii="Times New Roman" w:hAnsi="Times New Roman" w:cs="Times New Roman"/>
                <w:color w:val="000000"/>
                <w:kern w:val="0"/>
                <w:sz w:val="24"/>
                <w:szCs w:val="24"/>
                <w:lang w:bidi="ar"/>
              </w:rPr>
            </w:pPr>
            <w:r>
              <w:rPr>
                <w:rFonts w:hint="default" w:ascii="Times New Roman" w:hAnsi="Times New Roman" w:cs="Times New Roman"/>
                <w:color w:val="000000"/>
                <w:kern w:val="0"/>
                <w:sz w:val="24"/>
                <w:szCs w:val="24"/>
                <w:lang w:bidi="ar"/>
              </w:rPr>
              <w:t>首次成功开发槟榔碱特异性抗体，可基于该抗体，通过间接竞争酶联免疫（icELISA）等检测方法用于槟榔碱的快速检测。</w:t>
            </w:r>
          </w:p>
          <w:p w14:paraId="4454A588">
            <w:pPr>
              <w:pStyle w:val="2"/>
              <w:numPr>
                <w:ilvl w:val="0"/>
                <w:numId w:val="1"/>
              </w:numPr>
              <w:spacing w:line="300" w:lineRule="auto"/>
              <w:ind w:left="0" w:leftChars="0" w:firstLine="0" w:firstLineChars="0"/>
              <w:jc w:val="both"/>
              <w:rPr>
                <w:rFonts w:hint="default" w:ascii="Times New Roman" w:hAnsi="Times New Roman" w:cs="Times New Roman"/>
                <w:color w:val="000000"/>
                <w:kern w:val="0"/>
                <w:sz w:val="24"/>
                <w:szCs w:val="24"/>
                <w:lang w:bidi="ar"/>
              </w:rPr>
            </w:pPr>
            <w:r>
              <w:rPr>
                <w:rFonts w:hint="default" w:ascii="Times New Roman" w:hAnsi="Times New Roman" w:cs="Times New Roman"/>
                <w:color w:val="000000"/>
                <w:kern w:val="0"/>
                <w:sz w:val="24"/>
                <w:szCs w:val="24"/>
                <w:lang w:bidi="ar"/>
              </w:rPr>
              <w:t>通过多组学整合分析（RNA-seq、代谢组、WGCNA），锁定槟榔碱合成的核心支路，提出葫芦巴碱是槟榔碱的合成前体物质之一，并首次鉴定出葫芦巴碱合成酶编码基因</w:t>
            </w:r>
            <w:r>
              <w:rPr>
                <w:rFonts w:hint="default" w:ascii="Times New Roman" w:hAnsi="Times New Roman" w:cs="Times New Roman"/>
                <w:i/>
                <w:iCs/>
                <w:color w:val="000000"/>
                <w:kern w:val="0"/>
                <w:sz w:val="24"/>
                <w:szCs w:val="24"/>
                <w:lang w:bidi="ar"/>
              </w:rPr>
              <w:t>AcTS</w:t>
            </w:r>
            <w:r>
              <w:rPr>
                <w:rFonts w:hint="default" w:ascii="Times New Roman" w:hAnsi="Times New Roman" w:cs="Times New Roman"/>
                <w:color w:val="000000"/>
                <w:kern w:val="0"/>
                <w:sz w:val="24"/>
                <w:szCs w:val="24"/>
                <w:lang w:bidi="ar"/>
              </w:rPr>
              <w:t>，为进一步解析槟榔碱合成支路打下基础。在此基础上，我们已经首次于2025年公布了槟榔碱合成支路以及其关键酶的编码和调控基因。</w:t>
            </w:r>
          </w:p>
          <w:p w14:paraId="7E5F38FB">
            <w:pPr>
              <w:pStyle w:val="2"/>
              <w:numPr>
                <w:ilvl w:val="0"/>
                <w:numId w:val="1"/>
              </w:numPr>
              <w:spacing w:line="300" w:lineRule="auto"/>
              <w:ind w:left="0" w:leftChars="0" w:firstLine="0" w:firstLineChars="0"/>
              <w:jc w:val="both"/>
              <w:rPr>
                <w:rFonts w:hint="default" w:ascii="Times New Roman" w:hAnsi="Times New Roman" w:cs="Times New Roman"/>
                <w:color w:val="000000"/>
                <w:kern w:val="0"/>
                <w:sz w:val="24"/>
                <w:szCs w:val="24"/>
                <w:lang w:bidi="ar"/>
              </w:rPr>
            </w:pPr>
            <w:r>
              <w:rPr>
                <w:rFonts w:hint="default" w:ascii="Times New Roman" w:hAnsi="Times New Roman" w:cs="Times New Roman"/>
                <w:color w:val="000000"/>
                <w:kern w:val="0"/>
                <w:sz w:val="24"/>
                <w:szCs w:val="24"/>
                <w:lang w:bidi="ar"/>
              </w:rPr>
              <w:t>为实现槟榔重要次生代谢产物的规模化绿色生产，我们构建了酵母细胞工厂，开发了槟榔愈伤组织诱导培养和植株再生体系。</w:t>
            </w:r>
          </w:p>
          <w:p w14:paraId="2619E893">
            <w:pPr>
              <w:pStyle w:val="2"/>
              <w:spacing w:line="300" w:lineRule="auto"/>
              <w:ind w:firstLine="480" w:firstLineChars="200"/>
              <w:jc w:val="both"/>
              <w:rPr>
                <w:rFonts w:hint="default" w:ascii="Times New Roman" w:hAnsi="Times New Roman" w:cs="Times New Roman"/>
                <w:color w:val="000000"/>
                <w:kern w:val="0"/>
                <w:sz w:val="24"/>
                <w:szCs w:val="24"/>
                <w:lang w:bidi="ar"/>
              </w:rPr>
            </w:pPr>
            <w:r>
              <w:rPr>
                <w:rFonts w:hint="default" w:ascii="Times New Roman" w:hAnsi="Times New Roman" w:cs="Times New Roman"/>
                <w:color w:val="000000"/>
                <w:kern w:val="0"/>
                <w:sz w:val="24"/>
                <w:szCs w:val="24"/>
                <w:lang w:bidi="ar"/>
              </w:rPr>
              <w:t>通过以上研究，本项目为深入解析</w:t>
            </w:r>
            <w:r>
              <w:rPr>
                <w:rStyle w:val="9"/>
                <w:rFonts w:hint="default" w:ascii="Times New Roman" w:hAnsi="Times New Roman" w:cs="Times New Roman"/>
                <w:b w:val="0"/>
                <w:color w:val="auto"/>
                <w:sz w:val="24"/>
                <w:szCs w:val="24"/>
              </w:rPr>
              <w:t>槟榔生物碱等次生代谢物质的生物合成调控机制及</w:t>
            </w:r>
            <w:r>
              <w:rPr>
                <w:rFonts w:hint="default" w:ascii="Times New Roman" w:hAnsi="Times New Roman" w:cs="Times New Roman"/>
                <w:color w:val="000000"/>
                <w:kern w:val="0"/>
                <w:sz w:val="24"/>
                <w:szCs w:val="24"/>
                <w:lang w:bidi="ar"/>
              </w:rPr>
              <w:t>槟榔高值化利用提供科学基础和技术路径，对推动海南热带特色农业提质增效、落实乡村振兴战略具有重大意义。</w:t>
            </w:r>
          </w:p>
          <w:p w14:paraId="4AFC1EC0">
            <w:pPr>
              <w:pStyle w:val="2"/>
              <w:spacing w:line="300" w:lineRule="auto"/>
              <w:ind w:firstLine="480" w:firstLineChars="200"/>
              <w:jc w:val="both"/>
              <w:rPr>
                <w:rFonts w:ascii="Times New Roman" w:hAnsi="Times New Roman"/>
                <w:color w:val="000000"/>
                <w:kern w:val="0"/>
                <w:sz w:val="24"/>
                <w:szCs w:val="24"/>
                <w:lang w:bidi="ar"/>
              </w:rPr>
            </w:pPr>
            <w:r>
              <w:rPr>
                <w:rFonts w:ascii="Times New Roman" w:hAnsi="Times New Roman"/>
                <w:color w:val="000000"/>
                <w:kern w:val="0"/>
                <w:sz w:val="24"/>
                <w:szCs w:val="24"/>
                <w:lang w:bidi="ar"/>
              </w:rPr>
              <w:t> 本项目共发表学术论文</w:t>
            </w:r>
            <w:r>
              <w:rPr>
                <w:rFonts w:hint="eastAsia" w:ascii="Times New Roman" w:hAnsi="Times New Roman"/>
                <w:color w:val="000000"/>
                <w:kern w:val="0"/>
                <w:sz w:val="24"/>
                <w:szCs w:val="24"/>
                <w:lang w:bidi="ar"/>
              </w:rPr>
              <w:t>9</w:t>
            </w:r>
            <w:r>
              <w:rPr>
                <w:rFonts w:ascii="Times New Roman" w:hAnsi="Times New Roman"/>
                <w:color w:val="000000"/>
                <w:kern w:val="0"/>
                <w:sz w:val="24"/>
                <w:szCs w:val="24"/>
                <w:lang w:bidi="ar"/>
              </w:rPr>
              <w:t>篇，其中SCI</w:t>
            </w:r>
            <w:r>
              <w:rPr>
                <w:rFonts w:hint="eastAsia" w:ascii="Times New Roman" w:hAnsi="Times New Roman"/>
                <w:color w:val="000000"/>
                <w:kern w:val="0"/>
                <w:sz w:val="24"/>
                <w:szCs w:val="24"/>
                <w:lang w:bidi="ar"/>
              </w:rPr>
              <w:t>论文6</w:t>
            </w:r>
            <w:r>
              <w:rPr>
                <w:rFonts w:ascii="Times New Roman" w:hAnsi="Times New Roman"/>
                <w:color w:val="000000"/>
                <w:kern w:val="0"/>
                <w:sz w:val="24"/>
                <w:szCs w:val="24"/>
                <w:lang w:bidi="ar"/>
              </w:rPr>
              <w:t>篇，</w:t>
            </w:r>
            <w:r>
              <w:rPr>
                <w:rFonts w:hint="eastAsia" w:ascii="Times New Roman" w:hAnsi="Times New Roman"/>
                <w:color w:val="000000"/>
                <w:kern w:val="0"/>
                <w:sz w:val="24"/>
                <w:szCs w:val="24"/>
                <w:lang w:bidi="ar"/>
              </w:rPr>
              <w:t>包括New Phytologist, Industrial Crops &amp; Products中科院一区TOP期刊论文，</w:t>
            </w:r>
            <w:r>
              <w:rPr>
                <w:rFonts w:ascii="Times New Roman" w:hAnsi="Times New Roman"/>
                <w:color w:val="000000"/>
                <w:kern w:val="0"/>
                <w:sz w:val="24"/>
                <w:szCs w:val="24"/>
                <w:lang w:bidi="ar"/>
              </w:rPr>
              <w:t>总影响因子超过2</w:t>
            </w:r>
            <w:r>
              <w:rPr>
                <w:rFonts w:hint="eastAsia" w:ascii="Times New Roman" w:hAnsi="Times New Roman"/>
                <w:color w:val="000000"/>
                <w:kern w:val="0"/>
                <w:sz w:val="24"/>
                <w:szCs w:val="24"/>
                <w:lang w:bidi="ar"/>
              </w:rPr>
              <w:t>5</w:t>
            </w:r>
            <w:r>
              <w:rPr>
                <w:rFonts w:ascii="Times New Roman" w:hAnsi="Times New Roman"/>
                <w:color w:val="000000"/>
                <w:kern w:val="0"/>
                <w:sz w:val="24"/>
                <w:szCs w:val="24"/>
                <w:lang w:bidi="ar"/>
              </w:rPr>
              <w:t>，培养博士</w:t>
            </w:r>
            <w:r>
              <w:rPr>
                <w:rFonts w:hint="eastAsia" w:ascii="Times New Roman" w:hAnsi="Times New Roman"/>
                <w:color w:val="000000"/>
                <w:kern w:val="0"/>
                <w:sz w:val="24"/>
                <w:szCs w:val="24"/>
                <w:lang w:bidi="ar"/>
              </w:rPr>
              <w:t>2</w:t>
            </w:r>
            <w:r>
              <w:rPr>
                <w:rFonts w:ascii="Times New Roman" w:hAnsi="Times New Roman"/>
                <w:color w:val="000000"/>
                <w:kern w:val="0"/>
                <w:sz w:val="24"/>
                <w:szCs w:val="24"/>
                <w:lang w:bidi="ar"/>
              </w:rPr>
              <w:t>名，研究生2名。本项目</w:t>
            </w:r>
            <w:r>
              <w:rPr>
                <w:rFonts w:hint="eastAsia" w:ascii="Times New Roman" w:hAnsi="Times New Roman"/>
                <w:color w:val="000000"/>
                <w:kern w:val="0"/>
                <w:sz w:val="24"/>
                <w:szCs w:val="24"/>
                <w:lang w:bidi="ar"/>
              </w:rPr>
              <w:t>以</w:t>
            </w:r>
            <w:r>
              <w:rPr>
                <w:rFonts w:ascii="Times New Roman" w:hAnsi="Times New Roman"/>
                <w:color w:val="000000"/>
                <w:kern w:val="0"/>
                <w:sz w:val="24"/>
                <w:szCs w:val="24"/>
                <w:lang w:bidi="ar"/>
              </w:rPr>
              <w:t>海南热带特色药用植物</w:t>
            </w:r>
            <w:r>
              <w:rPr>
                <w:rFonts w:hint="eastAsia" w:ascii="Times New Roman" w:hAnsi="Times New Roman"/>
                <w:color w:val="000000"/>
                <w:kern w:val="0"/>
                <w:sz w:val="24"/>
                <w:szCs w:val="24"/>
                <w:lang w:bidi="ar"/>
              </w:rPr>
              <w:t>槟榔为研究对象</w:t>
            </w:r>
            <w:r>
              <w:rPr>
                <w:rFonts w:ascii="Times New Roman" w:hAnsi="Times New Roman"/>
                <w:color w:val="000000"/>
                <w:kern w:val="0"/>
                <w:sz w:val="24"/>
                <w:szCs w:val="24"/>
                <w:lang w:bidi="ar"/>
              </w:rPr>
              <w:t>，</w:t>
            </w:r>
            <w:r>
              <w:rPr>
                <w:rFonts w:hint="eastAsia" w:ascii="Times New Roman" w:hAnsi="Times New Roman"/>
                <w:color w:val="000000"/>
                <w:kern w:val="0"/>
                <w:sz w:val="24"/>
                <w:szCs w:val="24"/>
                <w:lang w:bidi="ar"/>
              </w:rPr>
              <w:t>通过多年研究，</w:t>
            </w:r>
            <w:r>
              <w:rPr>
                <w:rFonts w:ascii="Times New Roman" w:hAnsi="Times New Roman"/>
                <w:color w:val="000000"/>
                <w:kern w:val="0"/>
                <w:sz w:val="24"/>
                <w:szCs w:val="24"/>
                <w:lang w:bidi="ar"/>
              </w:rPr>
              <w:t>取得诸多原创性科学发现</w:t>
            </w:r>
            <w:r>
              <w:rPr>
                <w:rFonts w:hint="eastAsia" w:ascii="Times New Roman" w:hAnsi="Times New Roman"/>
                <w:color w:val="000000"/>
                <w:kern w:val="0"/>
                <w:sz w:val="24"/>
                <w:szCs w:val="24"/>
                <w:lang w:bidi="ar"/>
              </w:rPr>
              <w:t>，</w:t>
            </w:r>
            <w:r>
              <w:rPr>
                <w:rFonts w:ascii="Times New Roman" w:hAnsi="Times New Roman"/>
                <w:color w:val="000000"/>
                <w:kern w:val="0"/>
                <w:sz w:val="24"/>
                <w:szCs w:val="24"/>
                <w:lang w:bidi="ar"/>
              </w:rPr>
              <w:t>为海南热带药用植物的研究提供科学借鉴</w:t>
            </w:r>
            <w:r>
              <w:rPr>
                <w:rFonts w:hint="eastAsia" w:ascii="Times New Roman" w:hAnsi="Times New Roman"/>
                <w:color w:val="000000"/>
                <w:kern w:val="0"/>
                <w:sz w:val="24"/>
                <w:szCs w:val="24"/>
                <w:lang w:bidi="ar"/>
              </w:rPr>
              <w:t>。</w:t>
            </w:r>
          </w:p>
          <w:p w14:paraId="4534934D">
            <w:pPr>
              <w:widowControl/>
              <w:spacing w:line="300" w:lineRule="auto"/>
              <w:ind w:firstLine="480" w:firstLineChars="200"/>
              <w:jc w:val="left"/>
              <w:rPr>
                <w:bCs/>
                <w:sz w:val="24"/>
                <w:szCs w:val="24"/>
              </w:rPr>
            </w:pPr>
          </w:p>
        </w:tc>
      </w:tr>
      <w:tr w14:paraId="0D03C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5" w:hRule="atLeast"/>
          <w:jc w:val="center"/>
        </w:trPr>
        <w:tc>
          <w:tcPr>
            <w:tcW w:w="2269" w:type="dxa"/>
            <w:tcBorders>
              <w:right w:val="single" w:color="auto" w:sz="4" w:space="0"/>
            </w:tcBorders>
            <w:vAlign w:val="center"/>
          </w:tcPr>
          <w:p w14:paraId="65B09D6C">
            <w:pPr>
              <w:spacing w:line="440" w:lineRule="exact"/>
              <w:jc w:val="center"/>
              <w:rPr>
                <w:b/>
                <w:bCs/>
                <w:sz w:val="24"/>
                <w:szCs w:val="24"/>
              </w:rPr>
            </w:pPr>
            <w:r>
              <w:rPr>
                <w:b/>
                <w:bCs/>
                <w:sz w:val="24"/>
                <w:szCs w:val="24"/>
              </w:rPr>
              <w:t>提名书</w:t>
            </w:r>
          </w:p>
          <w:p w14:paraId="439424A8">
            <w:pPr>
              <w:spacing w:line="440" w:lineRule="exact"/>
              <w:jc w:val="center"/>
              <w:rPr>
                <w:b/>
                <w:bCs/>
                <w:sz w:val="24"/>
                <w:szCs w:val="24"/>
              </w:rPr>
            </w:pPr>
            <w:r>
              <w:rPr>
                <w:b/>
                <w:bCs/>
                <w:sz w:val="24"/>
                <w:szCs w:val="24"/>
              </w:rPr>
              <w:t>相关内容</w:t>
            </w:r>
          </w:p>
        </w:tc>
        <w:tc>
          <w:tcPr>
            <w:tcW w:w="7051" w:type="dxa"/>
            <w:tcBorders>
              <w:left w:val="single" w:color="auto" w:sz="4" w:space="0"/>
            </w:tcBorders>
            <w:vAlign w:val="center"/>
          </w:tcPr>
          <w:p w14:paraId="254F1481">
            <w:pPr>
              <w:pStyle w:val="2"/>
              <w:numPr>
                <w:ilvl w:val="0"/>
                <w:numId w:val="2"/>
              </w:numPr>
              <w:jc w:val="both"/>
              <w:rPr>
                <w:rFonts w:ascii="Times New Roman" w:hAnsi="Times New Roman"/>
                <w:color w:val="000000"/>
                <w:kern w:val="0"/>
                <w:sz w:val="21"/>
                <w:szCs w:val="21"/>
                <w:lang w:bidi="ar"/>
              </w:rPr>
            </w:pPr>
            <w:r>
              <w:rPr>
                <w:rFonts w:ascii="Times New Roman" w:hAnsi="Times New Roman"/>
                <w:color w:val="000000"/>
                <w:kern w:val="0"/>
                <w:sz w:val="21"/>
                <w:szCs w:val="21"/>
                <w:lang w:bidi="ar"/>
              </w:rPr>
              <w:t xml:space="preserve">Zhou GZ, Yin HY, Chen F, Wang YC, Gao Q, Yang FS, He CZ, Zhang LS, Wan YL. The genome of </w:t>
            </w:r>
            <w:r>
              <w:rPr>
                <w:rFonts w:ascii="Times New Roman" w:hAnsi="Times New Roman"/>
                <w:i/>
                <w:iCs/>
                <w:color w:val="000000"/>
                <w:kern w:val="0"/>
                <w:sz w:val="21"/>
                <w:szCs w:val="21"/>
                <w:lang w:bidi="ar"/>
              </w:rPr>
              <w:t>Areca catechu</w:t>
            </w:r>
            <w:r>
              <w:rPr>
                <w:rFonts w:ascii="Times New Roman" w:hAnsi="Times New Roman"/>
                <w:color w:val="000000"/>
                <w:kern w:val="0"/>
                <w:sz w:val="21"/>
                <w:szCs w:val="21"/>
                <w:lang w:bidi="ar"/>
              </w:rPr>
              <w:t xml:space="preserve"> provides insights into sex determination of monoecious plants. </w:t>
            </w:r>
            <w:r>
              <w:rPr>
                <w:rFonts w:ascii="Times New Roman" w:hAnsi="Times New Roman"/>
                <w:i/>
                <w:iCs/>
                <w:color w:val="000000"/>
                <w:kern w:val="0"/>
                <w:sz w:val="21"/>
                <w:szCs w:val="21"/>
                <w:lang w:bidi="ar"/>
              </w:rPr>
              <w:t>New Phytol</w:t>
            </w:r>
            <w:r>
              <w:rPr>
                <w:rFonts w:ascii="Times New Roman" w:hAnsi="Times New Roman"/>
                <w:color w:val="000000"/>
                <w:kern w:val="0"/>
                <w:sz w:val="21"/>
                <w:szCs w:val="21"/>
                <w:lang w:bidi="ar"/>
              </w:rPr>
              <w:t>. 2022;</w:t>
            </w:r>
            <w:r>
              <w:rPr>
                <w:rFonts w:hint="eastAsia" w:ascii="Times New Roman" w:hAnsi="Times New Roman"/>
                <w:color w:val="000000"/>
                <w:kern w:val="0"/>
                <w:sz w:val="21"/>
                <w:szCs w:val="21"/>
                <w:lang w:bidi="ar"/>
              </w:rPr>
              <w:t xml:space="preserve"> </w:t>
            </w:r>
            <w:r>
              <w:rPr>
                <w:rFonts w:ascii="Times New Roman" w:hAnsi="Times New Roman"/>
                <w:color w:val="000000"/>
                <w:kern w:val="0"/>
                <w:sz w:val="21"/>
                <w:szCs w:val="21"/>
                <w:lang w:bidi="ar"/>
              </w:rPr>
              <w:t xml:space="preserve">236(6):2327-2343. </w:t>
            </w:r>
          </w:p>
          <w:p w14:paraId="7244844B">
            <w:pPr>
              <w:pStyle w:val="2"/>
              <w:numPr>
                <w:ilvl w:val="0"/>
                <w:numId w:val="2"/>
              </w:numPr>
              <w:ind w:left="0" w:leftChars="0" w:firstLine="0" w:firstLineChars="0"/>
              <w:jc w:val="both"/>
              <w:rPr>
                <w:rFonts w:ascii="Times New Roman" w:hAnsi="Times New Roman"/>
                <w:color w:val="000000"/>
                <w:kern w:val="0"/>
                <w:sz w:val="21"/>
                <w:szCs w:val="21"/>
                <w:lang w:bidi="ar"/>
              </w:rPr>
            </w:pPr>
            <w:r>
              <w:rPr>
                <w:rFonts w:ascii="Times New Roman" w:hAnsi="Times New Roman"/>
                <w:color w:val="000000"/>
                <w:kern w:val="0"/>
                <w:sz w:val="21"/>
                <w:szCs w:val="21"/>
                <w:lang w:bidi="ar"/>
              </w:rPr>
              <w:t xml:space="preserve">Wu J, Cui C, Zhao HW, Zhou GZ, Qin L, Li XY, Chen LL, Wang XD, Wan YL. In-situ detection and imaging of </w:t>
            </w:r>
            <w:r>
              <w:rPr>
                <w:rFonts w:ascii="Times New Roman" w:hAnsi="Times New Roman"/>
                <w:i/>
                <w:iCs/>
                <w:color w:val="000000"/>
                <w:kern w:val="0"/>
                <w:sz w:val="21"/>
                <w:szCs w:val="21"/>
                <w:lang w:bidi="ar"/>
              </w:rPr>
              <w:t>Areca catechu</w:t>
            </w:r>
            <w:r>
              <w:rPr>
                <w:rFonts w:ascii="Times New Roman" w:hAnsi="Times New Roman"/>
                <w:color w:val="000000"/>
                <w:kern w:val="0"/>
                <w:sz w:val="21"/>
                <w:szCs w:val="21"/>
                <w:lang w:bidi="ar"/>
              </w:rPr>
              <w:t xml:space="preserve"> fruit alkaloids by MALDI-MSI. </w:t>
            </w:r>
            <w:r>
              <w:rPr>
                <w:rFonts w:ascii="Times New Roman" w:hAnsi="Times New Roman"/>
                <w:i/>
                <w:iCs/>
                <w:color w:val="000000"/>
                <w:kern w:val="0"/>
                <w:sz w:val="21"/>
                <w:szCs w:val="21"/>
                <w:lang w:bidi="ar"/>
              </w:rPr>
              <w:t>Ind Crop Prod</w:t>
            </w:r>
            <w:r>
              <w:rPr>
                <w:rFonts w:ascii="Times New Roman" w:hAnsi="Times New Roman"/>
                <w:color w:val="000000"/>
                <w:kern w:val="0"/>
                <w:sz w:val="21"/>
                <w:szCs w:val="21"/>
                <w:lang w:bidi="ar"/>
              </w:rPr>
              <w:t>, 2022, 188: 115533.</w:t>
            </w:r>
          </w:p>
          <w:p w14:paraId="41BD963D">
            <w:pPr>
              <w:pStyle w:val="2"/>
              <w:jc w:val="both"/>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3</w:t>
            </w:r>
            <w:r>
              <w:rPr>
                <w:rFonts w:ascii="Times New Roman" w:hAnsi="Times New Roman"/>
                <w:color w:val="000000"/>
                <w:kern w:val="0"/>
                <w:sz w:val="21"/>
                <w:szCs w:val="21"/>
                <w:lang w:bidi="ar"/>
              </w:rPr>
              <w:t xml:space="preserve">. Wang YH, Ding MY, Ma HQ, Wu J, Zhao HW, Wan YL. Development of a specific monoclonal antibody-based icELISA for detection of arecoline in traditional Chinese medicines and fresh areca nuts. </w:t>
            </w:r>
            <w:r>
              <w:rPr>
                <w:rFonts w:ascii="Times New Roman" w:hAnsi="Times New Roman"/>
                <w:i/>
                <w:iCs/>
                <w:color w:val="000000"/>
                <w:kern w:val="0"/>
                <w:sz w:val="21"/>
                <w:szCs w:val="21"/>
                <w:lang w:bidi="ar"/>
              </w:rPr>
              <w:t>Food Agr Immunol</w:t>
            </w:r>
            <w:r>
              <w:rPr>
                <w:rFonts w:ascii="Times New Roman" w:hAnsi="Times New Roman"/>
                <w:color w:val="000000"/>
                <w:kern w:val="0"/>
                <w:sz w:val="21"/>
                <w:szCs w:val="21"/>
                <w:lang w:bidi="ar"/>
              </w:rPr>
              <w:t>, 2022, 33(1), 113-126.</w:t>
            </w:r>
          </w:p>
          <w:p w14:paraId="65D259AD">
            <w:pPr>
              <w:pStyle w:val="2"/>
              <w:jc w:val="both"/>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4</w:t>
            </w:r>
            <w:r>
              <w:rPr>
                <w:rFonts w:ascii="Times New Roman" w:hAnsi="Times New Roman"/>
                <w:color w:val="000000"/>
                <w:kern w:val="0"/>
                <w:sz w:val="21"/>
                <w:szCs w:val="21"/>
                <w:lang w:bidi="ar"/>
              </w:rPr>
              <w:t>.</w:t>
            </w:r>
            <w:r>
              <w:rPr>
                <w:rFonts w:hint="eastAsia" w:ascii="Times New Roman" w:hAnsi="Times New Roman"/>
                <w:color w:val="000000"/>
                <w:kern w:val="0"/>
                <w:sz w:val="21"/>
                <w:szCs w:val="21"/>
                <w:lang w:val="en-US" w:eastAsia="zh-CN" w:bidi="ar"/>
              </w:rPr>
              <w:t xml:space="preserve"> </w:t>
            </w:r>
            <w:r>
              <w:rPr>
                <w:rFonts w:ascii="Times New Roman" w:hAnsi="Times New Roman"/>
                <w:color w:val="000000"/>
                <w:kern w:val="0"/>
                <w:sz w:val="21"/>
                <w:szCs w:val="21"/>
                <w:lang w:bidi="ar"/>
              </w:rPr>
              <w:t xml:space="preserve">Wu J, Cui C, Zhang H, Liu DJ, Schreiber L, Qin WQ, Wan YL. Identifying new compounds with potential pharmaceutical and physiological activity in </w:t>
            </w:r>
            <w:r>
              <w:rPr>
                <w:rFonts w:ascii="Times New Roman" w:hAnsi="Times New Roman"/>
                <w:i/>
                <w:iCs/>
                <w:color w:val="000000"/>
                <w:kern w:val="0"/>
                <w:sz w:val="21"/>
                <w:szCs w:val="21"/>
                <w:lang w:bidi="ar"/>
              </w:rPr>
              <w:t>Areca catechu</w:t>
            </w:r>
            <w:r>
              <w:rPr>
                <w:rFonts w:ascii="Times New Roman" w:hAnsi="Times New Roman"/>
                <w:color w:val="000000"/>
                <w:kern w:val="0"/>
                <w:sz w:val="21"/>
                <w:szCs w:val="21"/>
                <w:lang w:bidi="ar"/>
              </w:rPr>
              <w:t xml:space="preserve"> and </w:t>
            </w:r>
            <w:r>
              <w:rPr>
                <w:rFonts w:ascii="Times New Roman" w:hAnsi="Times New Roman"/>
                <w:i/>
                <w:iCs/>
                <w:color w:val="000000"/>
                <w:kern w:val="0"/>
                <w:sz w:val="21"/>
                <w:szCs w:val="21"/>
                <w:lang w:bidi="ar"/>
              </w:rPr>
              <w:t xml:space="preserve">Areca triandra </w:t>
            </w:r>
            <w:r>
              <w:rPr>
                <w:rFonts w:ascii="Times New Roman" w:hAnsi="Times New Roman"/>
                <w:color w:val="000000"/>
                <w:kern w:val="0"/>
                <w:sz w:val="21"/>
                <w:szCs w:val="21"/>
                <w:lang w:bidi="ar"/>
              </w:rPr>
              <w:t xml:space="preserve">via a non-targeted metabolomic approach. </w:t>
            </w:r>
            <w:r>
              <w:rPr>
                <w:rFonts w:ascii="Times New Roman" w:hAnsi="Times New Roman"/>
                <w:i/>
                <w:iCs/>
                <w:color w:val="000000"/>
                <w:kern w:val="0"/>
                <w:sz w:val="21"/>
                <w:szCs w:val="21"/>
                <w:lang w:bidi="ar"/>
              </w:rPr>
              <w:t>Phytochem Anal</w:t>
            </w:r>
            <w:r>
              <w:rPr>
                <w:rFonts w:ascii="Times New Roman" w:hAnsi="Times New Roman"/>
                <w:color w:val="000000"/>
                <w:kern w:val="0"/>
                <w:sz w:val="21"/>
                <w:szCs w:val="21"/>
                <w:lang w:bidi="ar"/>
              </w:rPr>
              <w:t>. 2021;32(6):970-981.</w:t>
            </w:r>
          </w:p>
          <w:p w14:paraId="57F16268">
            <w:pPr>
              <w:pStyle w:val="2"/>
              <w:jc w:val="both"/>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5</w:t>
            </w:r>
            <w:r>
              <w:rPr>
                <w:rFonts w:ascii="Times New Roman" w:hAnsi="Times New Roman"/>
                <w:color w:val="000000"/>
                <w:kern w:val="0"/>
                <w:sz w:val="21"/>
                <w:szCs w:val="21"/>
                <w:lang w:bidi="ar"/>
              </w:rPr>
              <w:t xml:space="preserve">. Li YL, Ding MY, Cui C, An QY, Wu J, Zhou GZ, Wan YL, Bao WL. Overexpression of a gene encoding trigonelline synthase from </w:t>
            </w:r>
            <w:r>
              <w:rPr>
                <w:rFonts w:ascii="Times New Roman" w:hAnsi="Times New Roman"/>
                <w:i/>
                <w:iCs/>
                <w:color w:val="000000"/>
                <w:kern w:val="0"/>
                <w:sz w:val="21"/>
                <w:szCs w:val="21"/>
                <w:lang w:bidi="ar"/>
              </w:rPr>
              <w:t xml:space="preserve">Areca catechu </w:t>
            </w:r>
            <w:r>
              <w:rPr>
                <w:rFonts w:ascii="Times New Roman" w:hAnsi="Times New Roman"/>
                <w:color w:val="000000"/>
                <w:kern w:val="0"/>
                <w:sz w:val="21"/>
                <w:szCs w:val="21"/>
                <w:lang w:bidi="ar"/>
              </w:rPr>
              <w:t xml:space="preserve">L. promotes drought resilience in transgenic </w:t>
            </w:r>
            <w:r>
              <w:rPr>
                <w:rFonts w:ascii="Times New Roman" w:hAnsi="Times New Roman"/>
                <w:i/>
                <w:iCs/>
                <w:color w:val="000000"/>
                <w:kern w:val="0"/>
                <w:sz w:val="21"/>
                <w:szCs w:val="21"/>
                <w:lang w:bidi="ar"/>
              </w:rPr>
              <w:t>Arabidopsis</w:t>
            </w:r>
            <w:r>
              <w:rPr>
                <w:rFonts w:ascii="Times New Roman" w:hAnsi="Times New Roman"/>
                <w:color w:val="000000"/>
                <w:kern w:val="0"/>
                <w:sz w:val="21"/>
                <w:szCs w:val="21"/>
                <w:lang w:bidi="ar"/>
              </w:rPr>
              <w:t xml:space="preserve">. </w:t>
            </w:r>
            <w:r>
              <w:rPr>
                <w:rFonts w:ascii="Times New Roman" w:hAnsi="Times New Roman"/>
                <w:i/>
                <w:iCs/>
                <w:color w:val="000000"/>
                <w:kern w:val="0"/>
                <w:sz w:val="21"/>
                <w:szCs w:val="21"/>
                <w:lang w:bidi="ar"/>
              </w:rPr>
              <w:t>Plants (Basel)</w:t>
            </w:r>
            <w:r>
              <w:rPr>
                <w:rFonts w:ascii="Times New Roman" w:hAnsi="Times New Roman"/>
                <w:color w:val="000000"/>
                <w:kern w:val="0"/>
                <w:sz w:val="21"/>
                <w:szCs w:val="21"/>
                <w:lang w:bidi="ar"/>
              </w:rPr>
              <w:t>. 2022, 11(4):487.</w:t>
            </w:r>
          </w:p>
          <w:p w14:paraId="62590AE4">
            <w:pPr>
              <w:pStyle w:val="2"/>
              <w:jc w:val="both"/>
              <w:rPr>
                <w:rFonts w:ascii="Times New Roman" w:hAnsi="Times New Roman"/>
                <w:color w:val="000000"/>
                <w:kern w:val="0"/>
                <w:sz w:val="21"/>
                <w:szCs w:val="21"/>
                <w:lang w:bidi="ar"/>
              </w:rPr>
            </w:pPr>
            <w:r>
              <w:rPr>
                <w:rFonts w:hint="eastAsia" w:ascii="Times New Roman" w:hAnsi="Times New Roman"/>
                <w:color w:val="000000"/>
                <w:kern w:val="0"/>
                <w:sz w:val="21"/>
                <w:szCs w:val="21"/>
                <w:lang w:bidi="ar"/>
              </w:rPr>
              <w:t xml:space="preserve">6. </w:t>
            </w:r>
            <w:r>
              <w:rPr>
                <w:rFonts w:ascii="Times New Roman" w:hAnsi="Times New Roman"/>
                <w:color w:val="000000"/>
                <w:kern w:val="0"/>
                <w:sz w:val="21"/>
                <w:szCs w:val="21"/>
                <w:lang w:bidi="ar"/>
              </w:rPr>
              <w:t>Wu J, Zhang H, Wang S, Yuan L, Grünhofer P, Schreiber L, Wan Y</w:t>
            </w:r>
            <w:r>
              <w:rPr>
                <w:rFonts w:hint="eastAsia" w:ascii="Times New Roman" w:hAnsi="Times New Roman"/>
                <w:color w:val="000000"/>
                <w:kern w:val="0"/>
                <w:sz w:val="21"/>
                <w:szCs w:val="21"/>
                <w:lang w:bidi="ar"/>
              </w:rPr>
              <w:t>L</w:t>
            </w:r>
            <w:r>
              <w:rPr>
                <w:rFonts w:ascii="Times New Roman" w:hAnsi="Times New Roman"/>
                <w:color w:val="000000"/>
                <w:kern w:val="0"/>
                <w:sz w:val="21"/>
                <w:szCs w:val="21"/>
                <w:lang w:bidi="ar"/>
              </w:rPr>
              <w:t xml:space="preserve">. Tissue-specific and maturity-dependent distribution of pyridine alkaloids in </w:t>
            </w:r>
            <w:r>
              <w:rPr>
                <w:rFonts w:ascii="Times New Roman" w:hAnsi="Times New Roman"/>
                <w:i/>
                <w:iCs/>
                <w:color w:val="000000"/>
                <w:kern w:val="0"/>
                <w:sz w:val="21"/>
                <w:szCs w:val="21"/>
                <w:lang w:bidi="ar"/>
              </w:rPr>
              <w:t>Areca triandra</w:t>
            </w:r>
            <w:r>
              <w:rPr>
                <w:rFonts w:ascii="Times New Roman" w:hAnsi="Times New Roman"/>
                <w:color w:val="000000"/>
                <w:kern w:val="0"/>
                <w:sz w:val="21"/>
                <w:szCs w:val="21"/>
                <w:lang w:bidi="ar"/>
              </w:rPr>
              <w:t xml:space="preserve">. </w:t>
            </w:r>
            <w:r>
              <w:rPr>
                <w:rFonts w:ascii="Times New Roman" w:hAnsi="Times New Roman"/>
                <w:i/>
                <w:iCs/>
                <w:color w:val="000000"/>
                <w:kern w:val="0"/>
                <w:sz w:val="21"/>
                <w:szCs w:val="21"/>
                <w:lang w:bidi="ar"/>
              </w:rPr>
              <w:t>J Plant Res</w:t>
            </w:r>
            <w:r>
              <w:rPr>
                <w:rFonts w:ascii="Times New Roman" w:hAnsi="Times New Roman"/>
                <w:color w:val="000000"/>
                <w:kern w:val="0"/>
                <w:sz w:val="21"/>
                <w:szCs w:val="21"/>
                <w:lang w:bidi="ar"/>
              </w:rPr>
              <w:t xml:space="preserve">. 2019;132(4):531-540. </w:t>
            </w:r>
          </w:p>
          <w:p w14:paraId="0876853F">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7. </w:t>
            </w:r>
            <w:r>
              <w:rPr>
                <w:rFonts w:hint="eastAsia" w:cs="Times New Roman"/>
                <w:color w:val="000000"/>
                <w:kern w:val="0"/>
                <w:sz w:val="21"/>
                <w:szCs w:val="21"/>
                <w:lang w:val="en-US" w:eastAsia="zh-CN" w:bidi="ar"/>
              </w:rPr>
              <w:t>丁</w:t>
            </w:r>
            <w:r>
              <w:rPr>
                <w:rFonts w:hint="eastAsia" w:ascii="Times New Roman" w:hAnsi="Times New Roman" w:eastAsia="宋体" w:cs="Times New Roman"/>
                <w:color w:val="000000"/>
                <w:kern w:val="0"/>
                <w:sz w:val="21"/>
                <w:szCs w:val="21"/>
                <w:lang w:val="en-US" w:eastAsia="zh-CN" w:bidi="ar"/>
              </w:rPr>
              <w:t>浩</w:t>
            </w:r>
            <w:r>
              <w:rPr>
                <w:rFonts w:hint="eastAsia"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安启源</w:t>
            </w:r>
            <w:r>
              <w:rPr>
                <w:rFonts w:hint="eastAsia"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崔闯</w:t>
            </w:r>
            <w:r>
              <w:rPr>
                <w:rFonts w:hint="eastAsia"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万迎朗</w:t>
            </w:r>
            <w:r>
              <w:rPr>
                <w:rFonts w:hint="eastAsia" w:cs="Times New Roman"/>
                <w:color w:val="000000"/>
                <w:kern w:val="0"/>
                <w:sz w:val="21"/>
                <w:szCs w:val="21"/>
                <w:lang w:val="en-US" w:eastAsia="zh-CN" w:bidi="ar"/>
              </w:rPr>
              <w:t>。</w:t>
            </w:r>
            <w:r>
              <w:rPr>
                <w:rFonts w:ascii="Times New Roman" w:hAnsi="Times New Roman" w:eastAsia="宋体" w:cs="Times New Roman"/>
                <w:color w:val="000000"/>
                <w:kern w:val="0"/>
                <w:sz w:val="21"/>
                <w:szCs w:val="21"/>
                <w:lang w:val="en-US" w:eastAsia="zh-CN" w:bidi="ar"/>
              </w:rPr>
              <w:t>榔烘干工艺对农艺性状的影响及良果筛选</w:t>
            </w:r>
            <w:r>
              <w:rPr>
                <w:rFonts w:hint="eastAsia" w:cs="Times New Roman"/>
                <w:color w:val="000000"/>
                <w:kern w:val="0"/>
                <w:sz w:val="21"/>
                <w:szCs w:val="21"/>
                <w:lang w:val="en-US" w:eastAsia="zh-CN" w:bidi="ar"/>
              </w:rPr>
              <w:t xml:space="preserve"> </w:t>
            </w:r>
            <w:r>
              <w:rPr>
                <w:rFonts w:hint="default" w:cs="Times New Roman"/>
                <w:color w:val="000000"/>
                <w:kern w:val="0"/>
                <w:sz w:val="21"/>
                <w:szCs w:val="21"/>
                <w:lang w:val="en-US" w:eastAsia="zh-CN" w:bidi="ar"/>
              </w:rPr>
              <w:t>热带生物学报</w:t>
            </w:r>
          </w:p>
          <w:p w14:paraId="7D4B2BD4">
            <w:pPr>
              <w:keepNext w:val="0"/>
              <w:keepLines w:val="0"/>
              <w:widowControl/>
              <w:suppressLineNumbers w:val="0"/>
              <w:jc w:val="left"/>
              <w:rPr>
                <w:rFonts w:hint="default" w:ascii="Times New Roman" w:hAnsi="Times New Roman" w:eastAsia="宋体"/>
                <w:color w:val="000000"/>
                <w:kern w:val="0"/>
                <w:sz w:val="21"/>
                <w:szCs w:val="21"/>
                <w:lang w:val="en-US" w:eastAsia="zh-CN" w:bidi="ar"/>
              </w:rPr>
            </w:pPr>
            <w:r>
              <w:rPr>
                <w:rFonts w:hint="eastAsia" w:ascii="Times New Roman" w:hAnsi="Times New Roman"/>
                <w:color w:val="000000"/>
                <w:kern w:val="0"/>
                <w:sz w:val="21"/>
                <w:szCs w:val="21"/>
                <w:lang w:val="en-US" w:eastAsia="zh-CN" w:bidi="ar"/>
              </w:rPr>
              <w:t>8. 吴娇，孔丹宇，万迎朗</w:t>
            </w:r>
            <w:r>
              <w:rPr>
                <w:rFonts w:hint="eastAsia"/>
                <w:color w:val="000000"/>
                <w:kern w:val="0"/>
                <w:sz w:val="21"/>
                <w:szCs w:val="21"/>
                <w:lang w:val="en-US" w:eastAsia="zh-CN" w:bidi="ar"/>
              </w:rPr>
              <w:t xml:space="preserve">。 </w:t>
            </w:r>
            <w:r>
              <w:rPr>
                <w:rFonts w:hint="eastAsia" w:cs="Times New Roman"/>
                <w:color w:val="000000"/>
                <w:kern w:val="0"/>
                <w:sz w:val="21"/>
                <w:szCs w:val="21"/>
                <w:lang w:val="en-US" w:eastAsia="zh-CN" w:bidi="ar"/>
              </w:rPr>
              <w:t xml:space="preserve">浅析国际槟榔文化及各国管理政策 </w:t>
            </w:r>
            <w:r>
              <w:rPr>
                <w:rFonts w:hint="default" w:cs="Times New Roman"/>
                <w:color w:val="000000"/>
                <w:kern w:val="0"/>
                <w:sz w:val="21"/>
                <w:szCs w:val="21"/>
                <w:lang w:val="en-US" w:eastAsia="zh-CN" w:bidi="ar"/>
              </w:rPr>
              <w:t>热带生物学报</w:t>
            </w:r>
          </w:p>
        </w:tc>
      </w:tr>
      <w:tr w14:paraId="1F9A3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54" w:hRule="atLeast"/>
          <w:jc w:val="center"/>
        </w:trPr>
        <w:tc>
          <w:tcPr>
            <w:tcW w:w="2269" w:type="dxa"/>
            <w:vAlign w:val="center"/>
          </w:tcPr>
          <w:p w14:paraId="652585DA">
            <w:pPr>
              <w:spacing w:line="440" w:lineRule="exact"/>
              <w:jc w:val="center"/>
              <w:rPr>
                <w:b/>
                <w:bCs/>
                <w:sz w:val="24"/>
                <w:szCs w:val="24"/>
              </w:rPr>
            </w:pPr>
            <w:r>
              <w:rPr>
                <w:b/>
                <w:bCs/>
                <w:sz w:val="24"/>
                <w:szCs w:val="24"/>
              </w:rPr>
              <w:t>主要完成人</w:t>
            </w:r>
          </w:p>
          <w:p w14:paraId="6B8CF726">
            <w:pPr>
              <w:spacing w:line="440" w:lineRule="exact"/>
              <w:jc w:val="center"/>
              <w:rPr>
                <w:lang w:val="en"/>
              </w:rPr>
            </w:pPr>
            <w:r>
              <w:rPr>
                <w:b/>
                <w:bCs/>
                <w:sz w:val="24"/>
                <w:szCs w:val="24"/>
                <w:lang w:val="en"/>
              </w:rPr>
              <w:t>（排序、工作单位和贡献）</w:t>
            </w:r>
          </w:p>
        </w:tc>
        <w:tc>
          <w:tcPr>
            <w:tcW w:w="7051" w:type="dxa"/>
            <w:vAlign w:val="center"/>
          </w:tcPr>
          <w:p w14:paraId="19F26FC8">
            <w:pPr>
              <w:numPr>
                <w:ilvl w:val="0"/>
                <w:numId w:val="3"/>
              </w:numPr>
              <w:spacing w:line="440" w:lineRule="exact"/>
              <w:rPr>
                <w:bCs/>
                <w:sz w:val="24"/>
                <w:szCs w:val="24"/>
              </w:rPr>
            </w:pPr>
            <w:r>
              <w:rPr>
                <w:bCs/>
                <w:sz w:val="24"/>
                <w:szCs w:val="24"/>
              </w:rPr>
              <w:t>万迎朗，海南师范大学，完成槟榔染色体水平参考基因组的组装和注释，解析槟榔碱等重要次生代谢物质合成调控机制。</w:t>
            </w:r>
          </w:p>
          <w:p w14:paraId="04B7129E">
            <w:pPr>
              <w:numPr>
                <w:ilvl w:val="0"/>
                <w:numId w:val="3"/>
              </w:numPr>
              <w:spacing w:line="440" w:lineRule="exact"/>
              <w:ind w:left="0" w:leftChars="0" w:firstLine="0" w:firstLineChars="0"/>
              <w:rPr>
                <w:bCs/>
                <w:sz w:val="24"/>
                <w:szCs w:val="24"/>
              </w:rPr>
            </w:pPr>
            <w:r>
              <w:rPr>
                <w:bCs/>
                <w:sz w:val="24"/>
                <w:szCs w:val="24"/>
              </w:rPr>
              <w:t>周广振，海南师范大学，完成槟榔染色体水平参考基因组的组装和注释，建立槟榔组织培养及植株再生体系，解析槟榔果实B族维生素代谢和基因表达谱。</w:t>
            </w:r>
          </w:p>
          <w:p w14:paraId="7E51EB65">
            <w:pPr>
              <w:numPr>
                <w:ilvl w:val="0"/>
                <w:numId w:val="3"/>
              </w:numPr>
              <w:spacing w:line="440" w:lineRule="exact"/>
              <w:ind w:left="0" w:leftChars="0" w:firstLine="0" w:firstLineChars="0"/>
              <w:rPr>
                <w:bCs/>
                <w:sz w:val="24"/>
                <w:szCs w:val="24"/>
              </w:rPr>
            </w:pPr>
            <w:r>
              <w:rPr>
                <w:bCs/>
                <w:sz w:val="24"/>
                <w:szCs w:val="24"/>
              </w:rPr>
              <w:t>赵洪伟，海南大学，完成槟榔碱</w:t>
            </w:r>
            <w:r>
              <w:rPr>
                <w:rFonts w:hint="eastAsia"/>
                <w:color w:val="000000"/>
                <w:kern w:val="0"/>
                <w:sz w:val="24"/>
                <w:szCs w:val="24"/>
                <w:lang w:bidi="ar"/>
              </w:rPr>
              <w:t>特异性抗体</w:t>
            </w:r>
            <w:r>
              <w:rPr>
                <w:bCs/>
                <w:sz w:val="24"/>
                <w:szCs w:val="24"/>
              </w:rPr>
              <w:t>制备，开发</w:t>
            </w:r>
            <w:r>
              <w:rPr>
                <w:rFonts w:hint="eastAsia"/>
                <w:color w:val="000000"/>
                <w:kern w:val="0"/>
                <w:sz w:val="24"/>
                <w:szCs w:val="24"/>
                <w:lang w:bidi="ar"/>
              </w:rPr>
              <w:t>间接竞争酶联免疫检测</w:t>
            </w:r>
            <w:r>
              <w:rPr>
                <w:bCs/>
                <w:sz w:val="24"/>
                <w:szCs w:val="24"/>
              </w:rPr>
              <w:t>试剂盒用于槟榔碱的定性定量检测。</w:t>
            </w:r>
          </w:p>
          <w:p w14:paraId="27C08425">
            <w:pPr>
              <w:numPr>
                <w:ilvl w:val="0"/>
                <w:numId w:val="3"/>
              </w:numPr>
              <w:spacing w:line="440" w:lineRule="exact"/>
              <w:ind w:left="0" w:leftChars="0" w:firstLine="0" w:firstLineChars="0"/>
              <w:rPr>
                <w:bCs/>
                <w:sz w:val="24"/>
                <w:szCs w:val="24"/>
              </w:rPr>
            </w:pPr>
            <w:r>
              <w:rPr>
                <w:bCs/>
                <w:sz w:val="24"/>
                <w:szCs w:val="24"/>
              </w:rPr>
              <w:t>吴娇，中国热带农业科学院环境与植物保护研究所，获得槟榔碱等槟榔活性成分的原位成像图谱。</w:t>
            </w:r>
          </w:p>
        </w:tc>
      </w:tr>
      <w:tr w14:paraId="6E8D94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8" w:hRule="atLeast"/>
          <w:jc w:val="center"/>
        </w:trPr>
        <w:tc>
          <w:tcPr>
            <w:tcW w:w="2269" w:type="dxa"/>
            <w:vAlign w:val="center"/>
          </w:tcPr>
          <w:p w14:paraId="7AFEE343">
            <w:pPr>
              <w:spacing w:line="440" w:lineRule="exact"/>
              <w:jc w:val="center"/>
              <w:rPr>
                <w:b/>
                <w:bCs/>
                <w:sz w:val="24"/>
                <w:szCs w:val="24"/>
              </w:rPr>
            </w:pPr>
            <w:r>
              <w:rPr>
                <w:b/>
                <w:bCs/>
                <w:sz w:val="24"/>
                <w:szCs w:val="24"/>
              </w:rPr>
              <w:t>主要完成单位</w:t>
            </w:r>
          </w:p>
          <w:p w14:paraId="1F617D0C">
            <w:pPr>
              <w:pStyle w:val="2"/>
              <w:jc w:val="center"/>
              <w:rPr>
                <w:rFonts w:ascii="Times New Roman" w:hAnsi="Times New Roman"/>
              </w:rPr>
            </w:pPr>
            <w:r>
              <w:rPr>
                <w:rFonts w:ascii="Times New Roman" w:hAnsi="Times New Roman"/>
                <w:b/>
                <w:bCs/>
                <w:sz w:val="24"/>
                <w:szCs w:val="24"/>
              </w:rPr>
              <w:t>（排序和贡献）</w:t>
            </w:r>
          </w:p>
        </w:tc>
        <w:tc>
          <w:tcPr>
            <w:tcW w:w="7051" w:type="dxa"/>
            <w:vAlign w:val="center"/>
          </w:tcPr>
          <w:p w14:paraId="7A070B00">
            <w:pPr>
              <w:numPr>
                <w:ilvl w:val="0"/>
                <w:numId w:val="4"/>
              </w:numPr>
              <w:spacing w:line="440" w:lineRule="exact"/>
              <w:jc w:val="left"/>
              <w:rPr>
                <w:bCs/>
                <w:sz w:val="24"/>
                <w:szCs w:val="24"/>
              </w:rPr>
            </w:pPr>
            <w:r>
              <w:rPr>
                <w:bCs/>
                <w:sz w:val="24"/>
                <w:szCs w:val="24"/>
              </w:rPr>
              <w:t>海南师范大学，对本项目科技创新和应用推广情况的贡献：解析槟榔生物碱等次生代谢物质的生物合成及调控机制。</w:t>
            </w:r>
          </w:p>
          <w:p w14:paraId="7B3DF070">
            <w:pPr>
              <w:numPr>
                <w:ilvl w:val="0"/>
                <w:numId w:val="4"/>
              </w:numPr>
              <w:spacing w:line="440" w:lineRule="exact"/>
              <w:ind w:left="0" w:leftChars="0" w:firstLine="0" w:firstLineChars="0"/>
              <w:jc w:val="left"/>
              <w:rPr>
                <w:bCs/>
                <w:sz w:val="24"/>
                <w:szCs w:val="24"/>
              </w:rPr>
            </w:pPr>
            <w:r>
              <w:rPr>
                <w:bCs/>
                <w:sz w:val="24"/>
                <w:szCs w:val="24"/>
              </w:rPr>
              <w:t>海南大学，对本项目主要学术贡献：槟榔碱抗体制备与应用。</w:t>
            </w:r>
          </w:p>
          <w:p w14:paraId="123DF931">
            <w:pPr>
              <w:numPr>
                <w:ilvl w:val="0"/>
                <w:numId w:val="4"/>
              </w:numPr>
              <w:spacing w:line="440" w:lineRule="exact"/>
              <w:ind w:left="0" w:leftChars="0" w:firstLine="0" w:firstLineChars="0"/>
              <w:jc w:val="left"/>
              <w:rPr>
                <w:bCs/>
                <w:sz w:val="24"/>
                <w:szCs w:val="24"/>
              </w:rPr>
            </w:pPr>
            <w:r>
              <w:rPr>
                <w:bCs/>
                <w:sz w:val="24"/>
                <w:szCs w:val="24"/>
              </w:rPr>
              <w:t>中国热带农业科学院环境与植物保护研究所，对本项目主要学术贡献：槟榔活性成分原位成像。</w:t>
            </w:r>
          </w:p>
        </w:tc>
      </w:tr>
    </w:tbl>
    <w:p w14:paraId="4875D353">
      <w:pPr>
        <w:spacing w:line="440" w:lineRule="exact"/>
        <w:rPr>
          <w:b/>
          <w:bCs/>
          <w:sz w:val="24"/>
          <w:szCs w:val="24"/>
          <w:u w:val="wavyHeavy"/>
        </w:rPr>
      </w:pPr>
      <w:r>
        <w:rPr>
          <w:sz w:val="24"/>
          <w:szCs w:val="24"/>
        </w:rPr>
        <w:t>说明：</w:t>
      </w:r>
      <w:r>
        <w:rPr>
          <w:rFonts w:hint="eastAsia"/>
          <w:sz w:val="24"/>
          <w:szCs w:val="24"/>
        </w:rPr>
        <w:t>涉及国外的人和组织</w:t>
      </w:r>
      <w:r>
        <w:rPr>
          <w:sz w:val="24"/>
          <w:szCs w:val="24"/>
        </w:rPr>
        <w:t>科学技术合作奖可不用公示，其余奖项必须公示</w:t>
      </w:r>
      <w:r>
        <w:rPr>
          <w:b/>
          <w:bCs/>
          <w:sz w:val="24"/>
          <w:szCs w:val="24"/>
        </w:rPr>
        <w:t>至少7</w:t>
      </w:r>
      <w:r>
        <w:rPr>
          <w:b/>
          <w:bCs/>
          <w:sz w:val="24"/>
          <w:szCs w:val="24"/>
          <w:u w:val="wavyHeavy"/>
        </w:rPr>
        <w:t>日。</w:t>
      </w:r>
    </w:p>
    <w:p w14:paraId="6B38E2E7">
      <w:pPr>
        <w:pStyle w:val="2"/>
        <w:ind w:firstLine="570" w:firstLineChars="300"/>
        <w:rPr>
          <w:rFonts w:ascii="Times New Roman" w:hAnsi="Times New Roman"/>
          <w:color w:val="000000"/>
          <w:kern w:val="0"/>
          <w:sz w:val="19"/>
          <w:szCs w:val="19"/>
          <w:lang w:bidi="ar"/>
        </w:rPr>
      </w:pPr>
      <w:r>
        <w:rPr>
          <w:rFonts w:ascii="Times New Roman" w:hAnsi="Times New Roman"/>
          <w:color w:val="000000"/>
          <w:kern w:val="0"/>
          <w:sz w:val="19"/>
          <w:szCs w:val="19"/>
          <w:lang w:bidi="ar"/>
        </w:rPr>
        <w:t xml:space="preserve"> </w:t>
      </w:r>
    </w:p>
    <w:p w14:paraId="0065AA43">
      <w:pPr>
        <w:pStyle w:val="2"/>
        <w:rPr>
          <w:rFonts w:hint="eastAsia"/>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9D456">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974090" cy="2349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974090" cy="234950"/>
                      </a:xfrm>
                      <a:prstGeom prst="rect">
                        <a:avLst/>
                      </a:prstGeom>
                      <a:noFill/>
                      <a:ln>
                        <a:noFill/>
                      </a:ln>
                    </wps:spPr>
                    <wps:txbx>
                      <w:txbxContent>
                        <w:p w14:paraId="3845AAE8">
                          <w:pPr>
                            <w:snapToGrid w:val="0"/>
                            <w:rPr>
                              <w:szCs w:val="28"/>
                            </w:rPr>
                          </w:pPr>
                          <w:r>
                            <w:rPr>
                              <w:rFonts w:hint="eastAsia"/>
                              <w:szCs w:val="28"/>
                            </w:rPr>
                            <w:t xml:space="preserve">— </w:t>
                          </w:r>
                          <w:r>
                            <w:rPr>
                              <w:rFonts w:hint="eastAsia"/>
                              <w:szCs w:val="28"/>
                            </w:rPr>
                            <w:fldChar w:fldCharType="begin"/>
                          </w:r>
                          <w:r>
                            <w:rPr>
                              <w:rFonts w:hint="eastAsia"/>
                              <w:szCs w:val="28"/>
                            </w:rPr>
                            <w:instrText xml:space="preserve"> PAGE  \* MERGEFORMAT </w:instrText>
                          </w:r>
                          <w:r>
                            <w:rPr>
                              <w:rFonts w:hint="eastAsia"/>
                              <w:szCs w:val="28"/>
                            </w:rPr>
                            <w:fldChar w:fldCharType="separate"/>
                          </w:r>
                          <w:r>
                            <w:rPr>
                              <w:rFonts w:hint="eastAsia"/>
                              <w:szCs w:val="28"/>
                            </w:rPr>
                            <w:t>102</w:t>
                          </w:r>
                          <w:r>
                            <w:rPr>
                              <w:rFonts w:hint="eastAsia"/>
                              <w:szCs w:val="28"/>
                            </w:rPr>
                            <w:fldChar w:fldCharType="end"/>
                          </w:r>
                          <w:r>
                            <w:rPr>
                              <w:rFonts w:hint="eastAsia"/>
                              <w:szCs w:val="28"/>
                            </w:rPr>
                            <w:t xml:space="preserve"> —</w:t>
                          </w:r>
                        </w:p>
                      </w:txbxContent>
                    </wps:txbx>
                    <wps:bodyPr lIns="0" tIns="0" rIns="0" bIns="0"/>
                  </wps:wsp>
                </a:graphicData>
              </a:graphic>
            </wp:anchor>
          </w:drawing>
        </mc:Choice>
        <mc:Fallback>
          <w:pict>
            <v:shape id="_x0000_s1026" o:spid="_x0000_s1026" o:spt="202" type="#_x0000_t202" style="position:absolute;left:0pt;margin-top:0pt;height:18.5pt;width:76.7pt;mso-position-horizontal:outside;mso-position-horizontal-relative:margin;z-index:251659264;mso-width-relative:page;mso-height-relative:page;" filled="f" stroked="f" coordsize="21600,21600" o:gfxdata="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wvva&#10;m9QAAAAEAQAADwAAAAAAAAABACAAAAAiAAAAZHJzL2Rvd25yZXYueG1sUEsBAhQAFAAAAAgAh07i&#10;QAOG7nm0AQAAZQMAAA4AAAAAAAAAAQAgAAAAIwEAAGRycy9lMm9Eb2MueG1sUEsFBgAAAAAGAAYA&#10;WQEAAEkFAAAAAA==&#10;">
              <v:fill on="f" focussize="0,0"/>
              <v:stroke on="f"/>
              <v:imagedata o:title=""/>
              <o:lock v:ext="edit" aspectratio="f"/>
              <v:textbox inset="0mm,0mm,0mm,0mm">
                <w:txbxContent>
                  <w:p w14:paraId="3845AAE8">
                    <w:pPr>
                      <w:snapToGrid w:val="0"/>
                      <w:rPr>
                        <w:szCs w:val="28"/>
                      </w:rPr>
                    </w:pPr>
                    <w:r>
                      <w:rPr>
                        <w:rFonts w:hint="eastAsia"/>
                        <w:szCs w:val="28"/>
                      </w:rPr>
                      <w:t xml:space="preserve">— </w:t>
                    </w:r>
                    <w:r>
                      <w:rPr>
                        <w:rFonts w:hint="eastAsia"/>
                        <w:szCs w:val="28"/>
                      </w:rPr>
                      <w:fldChar w:fldCharType="begin"/>
                    </w:r>
                    <w:r>
                      <w:rPr>
                        <w:rFonts w:hint="eastAsia"/>
                        <w:szCs w:val="28"/>
                      </w:rPr>
                      <w:instrText xml:space="preserve"> PAGE  \* MERGEFORMAT </w:instrText>
                    </w:r>
                    <w:r>
                      <w:rPr>
                        <w:rFonts w:hint="eastAsia"/>
                        <w:szCs w:val="28"/>
                      </w:rPr>
                      <w:fldChar w:fldCharType="separate"/>
                    </w:r>
                    <w:r>
                      <w:rPr>
                        <w:rFonts w:hint="eastAsia"/>
                        <w:szCs w:val="28"/>
                      </w:rPr>
                      <w:t>102</w:t>
                    </w:r>
                    <w:r>
                      <w:rPr>
                        <w:rFonts w:hint="eastAsia"/>
                        <w:szCs w:val="28"/>
                      </w:rPr>
                      <w:fldChar w:fldCharType="end"/>
                    </w:r>
                    <w:r>
                      <w:rPr>
                        <w:rFonts w:hint="eastAsia"/>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02C6E"/>
    <w:multiLevelType w:val="singleLevel"/>
    <w:tmpl w:val="8A902C6E"/>
    <w:lvl w:ilvl="0" w:tentative="0">
      <w:start w:val="1"/>
      <w:numFmt w:val="decimal"/>
      <w:suff w:val="space"/>
      <w:lvlText w:val="%1."/>
      <w:lvlJc w:val="left"/>
    </w:lvl>
  </w:abstractNum>
  <w:abstractNum w:abstractNumId="1">
    <w:nsid w:val="C0899F05"/>
    <w:multiLevelType w:val="singleLevel"/>
    <w:tmpl w:val="C0899F05"/>
    <w:lvl w:ilvl="0" w:tentative="0">
      <w:start w:val="1"/>
      <w:numFmt w:val="decimal"/>
      <w:suff w:val="space"/>
      <w:lvlText w:val="%1."/>
      <w:lvlJc w:val="left"/>
    </w:lvl>
  </w:abstractNum>
  <w:abstractNum w:abstractNumId="2">
    <w:nsid w:val="5F84B3C1"/>
    <w:multiLevelType w:val="singleLevel"/>
    <w:tmpl w:val="5F84B3C1"/>
    <w:lvl w:ilvl="0" w:tentative="0">
      <w:start w:val="1"/>
      <w:numFmt w:val="decimal"/>
      <w:suff w:val="space"/>
      <w:lvlText w:val="%1."/>
      <w:lvlJc w:val="left"/>
    </w:lvl>
  </w:abstractNum>
  <w:abstractNum w:abstractNumId="3">
    <w:nsid w:val="65E7B06C"/>
    <w:multiLevelType w:val="singleLevel"/>
    <w:tmpl w:val="65E7B06C"/>
    <w:lvl w:ilvl="0" w:tentative="0">
      <w:start w:val="1"/>
      <w:numFmt w:val="decimal"/>
      <w:suff w:val="space"/>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1YmMzMmRlODQxNTA1NGY0NDg5ODQwM2FlNWQ1YWIifQ=="/>
  </w:docVars>
  <w:rsids>
    <w:rsidRoot w:val="139B7164"/>
    <w:rsid w:val="00060CD6"/>
    <w:rsid w:val="000F5E49"/>
    <w:rsid w:val="003012BA"/>
    <w:rsid w:val="00504A95"/>
    <w:rsid w:val="006454D8"/>
    <w:rsid w:val="009B4CDD"/>
    <w:rsid w:val="00AF2F90"/>
    <w:rsid w:val="00B134E7"/>
    <w:rsid w:val="00CE0837"/>
    <w:rsid w:val="00F97A2E"/>
    <w:rsid w:val="00FE4716"/>
    <w:rsid w:val="01834381"/>
    <w:rsid w:val="045A7D81"/>
    <w:rsid w:val="0AA07F0D"/>
    <w:rsid w:val="139B7164"/>
    <w:rsid w:val="218230ED"/>
    <w:rsid w:val="25624707"/>
    <w:rsid w:val="26902D79"/>
    <w:rsid w:val="2FC25A0A"/>
    <w:rsid w:val="300B4262"/>
    <w:rsid w:val="339035B4"/>
    <w:rsid w:val="33BA709B"/>
    <w:rsid w:val="34F234D4"/>
    <w:rsid w:val="3A663AD8"/>
    <w:rsid w:val="3FCA60F9"/>
    <w:rsid w:val="46CA4B3E"/>
    <w:rsid w:val="4BA776CF"/>
    <w:rsid w:val="512C0E7B"/>
    <w:rsid w:val="51AB79C1"/>
    <w:rsid w:val="547A0454"/>
    <w:rsid w:val="587B54DB"/>
    <w:rsid w:val="5C4408B4"/>
    <w:rsid w:val="5DD37A6B"/>
    <w:rsid w:val="661B43E6"/>
    <w:rsid w:val="6FC07AE5"/>
    <w:rsid w:val="71EE7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qFormat/>
    <w:uiPriority w:val="0"/>
    <w:pPr>
      <w:autoSpaceDE w:val="0"/>
      <w:autoSpaceDN w:val="0"/>
      <w:adjustRightInd w:val="0"/>
      <w:jc w:val="left"/>
    </w:pPr>
    <w:rPr>
      <w:rFonts w:ascii="方正仿宋_GBK" w:hAnsi="方正仿宋_GBK"/>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itle"/>
    <w:basedOn w:val="1"/>
    <w:qFormat/>
    <w:uiPriority w:val="0"/>
    <w:pPr>
      <w:spacing w:before="240" w:after="60"/>
      <w:jc w:val="center"/>
      <w:outlineLvl w:val="0"/>
    </w:pPr>
    <w:rPr>
      <w:rFonts w:ascii="Arial" w:hAnsi="Arial"/>
      <w:b/>
      <w:sz w:val="32"/>
    </w:rPr>
  </w:style>
  <w:style w:type="paragraph" w:customStyle="1" w:styleId="8">
    <w:name w:val="学校标题"/>
    <w:basedOn w:val="5"/>
    <w:qFormat/>
    <w:uiPriority w:val="0"/>
    <w:pPr>
      <w:widowControl/>
      <w:jc w:val="left"/>
    </w:pPr>
    <w:rPr>
      <w:rFonts w:eastAsia="方正小标宋简体" w:asciiTheme="minorHAnsi" w:hAnsiTheme="minorHAnsi"/>
      <w:b w:val="0"/>
      <w:kern w:val="0"/>
      <w:sz w:val="44"/>
    </w:rPr>
  </w:style>
  <w:style w:type="character" w:customStyle="1" w:styleId="9">
    <w:name w:val="title1"/>
    <w:qFormat/>
    <w:uiPriority w:val="0"/>
    <w:rPr>
      <w:b/>
      <w:bCs/>
      <w:color w:val="9999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1961</Words>
  <Characters>2942</Characters>
  <Lines>106</Lines>
  <Paragraphs>40</Paragraphs>
  <TotalTime>19</TotalTime>
  <ScaleCrop>false</ScaleCrop>
  <LinksUpToDate>false</LinksUpToDate>
  <CharactersWithSpaces>3183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2025-06-19T08:25:00Z</dcterms:created>
  <dc:creator>借山而居</dc:creator>
  <cp:lastModifiedBy>借山而居</cp:lastModifiedBy>
  <dcterms:modified xsi:type="dcterms:W3CDTF">2026-02-13T11:43:16Z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36818D6CD89A4A9287864A0A7B257713_13</vt:lpwstr>
  </property>
  <property fmtid="{D5CDD505-2E9C-101B-9397-08002B2CF9AE}" pid="4" name="KSOTemplateDocerSaveRecord">
    <vt:lpwstr>eyJoZGlkIjoiYTA3ZjU5OTVkMGY4ODQxN2NmMmRhOTYwYjcxYmRkNDEiLCJ1c2VySWQiOiI1NDYxNjEyMzAifQ==</vt:lpwstr>
  </property>
</Properties>
</file>