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DBDAB">
      <w:pPr>
        <w:jc w:val="center"/>
        <w:rPr>
          <w:rFonts w:ascii="黑体" w:hAnsi="黑体" w:eastAsia="黑体"/>
          <w:b/>
          <w:sz w:val="36"/>
          <w:szCs w:val="36"/>
        </w:rPr>
      </w:pPr>
      <w:r>
        <w:rPr>
          <w:rFonts w:hint="eastAsia" w:ascii="黑体" w:hAnsi="黑体" w:eastAsia="黑体"/>
          <w:b/>
          <w:sz w:val="36"/>
          <w:szCs w:val="36"/>
          <w:lang w:val="en-US" w:eastAsia="zh-CN"/>
        </w:rPr>
        <w:t>海南省环境科学学会2026年度</w:t>
      </w:r>
      <w:r>
        <w:rPr>
          <w:rFonts w:hint="eastAsia" w:ascii="黑体" w:hAnsi="黑体" w:eastAsia="黑体"/>
          <w:b/>
          <w:sz w:val="36"/>
          <w:szCs w:val="36"/>
        </w:rPr>
        <w:t>海南省环境保护科学技术奖</w:t>
      </w:r>
    </w:p>
    <w:p w14:paraId="5C09A866">
      <w:pPr>
        <w:jc w:val="center"/>
        <w:rPr>
          <w:rFonts w:hint="eastAsia" w:ascii="黑体" w:hAnsi="黑体" w:eastAsia="黑体"/>
          <w:b/>
          <w:sz w:val="36"/>
          <w:szCs w:val="36"/>
          <w:lang w:eastAsia="zh-CN"/>
        </w:rPr>
      </w:pPr>
      <w:r>
        <w:rPr>
          <w:rFonts w:hint="eastAsia" w:ascii="黑体" w:hAnsi="黑体" w:eastAsia="黑体"/>
          <w:b/>
          <w:sz w:val="36"/>
          <w:szCs w:val="36"/>
        </w:rPr>
        <w:t>公示</w:t>
      </w:r>
      <w:r>
        <w:rPr>
          <w:rFonts w:hint="eastAsia" w:ascii="黑体" w:hAnsi="黑体" w:eastAsia="黑体"/>
          <w:b/>
          <w:sz w:val="36"/>
          <w:szCs w:val="36"/>
          <w:lang w:eastAsia="zh-CN"/>
        </w:rPr>
        <w:t>内容</w:t>
      </w:r>
    </w:p>
    <w:p w14:paraId="5F118FBD">
      <w:pPr>
        <w:spacing w:line="360" w:lineRule="auto"/>
        <w:rPr>
          <w:rFonts w:ascii="Times New Roman" w:hAnsi="Times New Roman" w:eastAsia="宋体" w:cs="Times New Roman"/>
          <w:b/>
          <w:kern w:val="0"/>
          <w:sz w:val="24"/>
          <w:szCs w:val="24"/>
        </w:rPr>
      </w:pPr>
      <w:bookmarkStart w:id="3" w:name="_GoBack"/>
      <w:bookmarkEnd w:id="3"/>
    </w:p>
    <w:p w14:paraId="6EE7B8B2">
      <w:pPr>
        <w:spacing w:before="156" w:beforeLines="50" w:line="360" w:lineRule="exact"/>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b/>
          <w:kern w:val="0"/>
          <w:sz w:val="24"/>
          <w:szCs w:val="24"/>
        </w:rPr>
        <w:t>奖励类别：</w:t>
      </w:r>
      <w:r>
        <w:rPr>
          <w:rFonts w:hint="eastAsia" w:ascii="Times New Roman" w:hAnsi="Times New Roman" w:eastAsia="宋体" w:cs="Times New Roman"/>
          <w:color w:val="auto"/>
          <w:sz w:val="24"/>
          <w:szCs w:val="24"/>
          <w:lang w:val="en-US" w:eastAsia="zh-CN"/>
        </w:rPr>
        <w:t>环境保护科学技术奖自然科学奖</w:t>
      </w:r>
    </w:p>
    <w:p w14:paraId="0E73B9AF">
      <w:pPr>
        <w:spacing w:before="156" w:beforeLines="50" w:line="360" w:lineRule="exac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b/>
          <w:kern w:val="0"/>
          <w:sz w:val="24"/>
          <w:szCs w:val="24"/>
        </w:rPr>
        <w:t>项目名称：</w:t>
      </w:r>
      <w:r>
        <w:rPr>
          <w:rFonts w:hint="eastAsia" w:ascii="Times New Roman" w:hAnsi="Times New Roman" w:eastAsia="宋体" w:cs="Times New Roman"/>
          <w:color w:val="000000" w:themeColor="text1"/>
          <w:sz w:val="24"/>
          <w:szCs w:val="24"/>
          <w14:textFill>
            <w14:solidFill>
              <w14:schemeClr w14:val="tx1"/>
            </w14:solidFill>
          </w14:textFill>
        </w:rPr>
        <w:t>水环境遥感监测、演变驱动与生态风险：从常规水质到新污染物</w:t>
      </w:r>
    </w:p>
    <w:p w14:paraId="2C8CE3DF">
      <w:pPr>
        <w:pStyle w:val="2"/>
        <w:spacing w:before="156" w:beforeLines="50" w:line="360" w:lineRule="exact"/>
        <w:ind w:firstLine="480"/>
        <w:rPr>
          <w:rFonts w:hint="eastAsia"/>
          <w:sz w:val="24"/>
        </w:rPr>
      </w:pPr>
      <w:r>
        <w:rPr>
          <w:rFonts w:hint="eastAsia"/>
          <w:sz w:val="24"/>
        </w:rPr>
        <w:t>该项目针对水环境“宏观演变认知不清、微观生态效应不明”的核心科学问题，历经十余年协同攻关，构建了“星地多源数据协同—多尺度演变解析—生态风险评估”的系统性研究框架，在三个方面取得原创性突破：一是建立了基于Landsat长时序存档数据的内陆水体TSS遥感估算模型与光学水体分类新方法，突破了复杂水体“单一算法无法通用”的技术瓶颈，实现了中国东部平原湖区16,804个湖泊近四十年水质反演；二是系统揭示了湖泊、近海、城市三类水体的水质演变规律，首次量化了自然因素与人类活动的差异化贡献，阐明了景观格局调控城市水质的尺度效应与作用阈值，为差异化水环境管理提供了科学依据；三是国际首创性地发现了环境浓度尼泊金酯慢性共暴露诱导斑马鱼多重神经行为异常及其“视觉损伤—光转导抑制—神经递质失调”的新型毒性通路模型，将水质研究从宏观理化指标拓展到微观生态健康效应新维度。</w:t>
      </w:r>
    </w:p>
    <w:p w14:paraId="70CFAC3D">
      <w:pPr>
        <w:pStyle w:val="2"/>
        <w:spacing w:before="156" w:beforeLines="50" w:line="360" w:lineRule="exact"/>
        <w:ind w:firstLine="480"/>
        <w:rPr>
          <w:rFonts w:hint="eastAsia"/>
          <w:sz w:val="24"/>
        </w:rPr>
      </w:pPr>
      <w:r>
        <w:rPr>
          <w:rFonts w:hint="eastAsia"/>
          <w:sz w:val="24"/>
        </w:rPr>
        <w:t>研究成果发表于《Science of the Total Environment》《Remote Sensing》《Environmental Pollution》等国际权威期刊，被Scopus收录引用60余次，被国内外学者在《Environmental Science &amp; Technology》《Communications Earth &amp; Environment》等顶级期刊上正面引用和积极评价。项目成果丰富了水环境遥感监测与水生态毒理学的理论体系，有力推动了环境科学与生态学的学科交叉发展，为海南省乃至全国的水环境管理、新污染物风险管控及生态安全保障提供了重要科学依据。</w:t>
      </w:r>
    </w:p>
    <w:p w14:paraId="77468677">
      <w:pPr>
        <w:pStyle w:val="2"/>
        <w:spacing w:before="156" w:beforeLines="50" w:line="360" w:lineRule="exact"/>
        <w:ind w:firstLine="480"/>
        <w:rPr>
          <w:rFonts w:hint="eastAsia"/>
          <w:sz w:val="24"/>
        </w:rPr>
      </w:pPr>
      <w:r>
        <w:rPr>
          <w:rFonts w:hint="eastAsia"/>
          <w:sz w:val="24"/>
        </w:rPr>
        <w:t>项目完成人政治立场坚定、师德师风端正，生活中坚持廉洁自律，在科研工作中严格遵守各项科研规定和学术道德。</w:t>
      </w:r>
    </w:p>
    <w:p w14:paraId="3D2EF8C4">
      <w:pPr>
        <w:pStyle w:val="2"/>
        <w:spacing w:before="156" w:beforeLines="50" w:line="360" w:lineRule="exact"/>
        <w:ind w:firstLine="480"/>
        <w:rPr>
          <w:sz w:val="24"/>
        </w:rPr>
      </w:pPr>
      <w:r>
        <w:rPr>
          <w:rFonts w:hint="eastAsia"/>
          <w:sz w:val="24"/>
        </w:rPr>
        <w:t>提名该项目为环境保护科学技术奖自然科学奖一等奖。</w:t>
      </w:r>
      <w:r>
        <w:rPr>
          <w:sz w:val="24"/>
        </w:rPr>
        <w:t xml:space="preserve"> </w:t>
      </w:r>
    </w:p>
    <w:p w14:paraId="608CC40E">
      <w:pPr>
        <w:spacing w:before="156" w:beforeLines="50" w:line="360" w:lineRule="exact"/>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提名等级：</w:t>
      </w:r>
      <w:r>
        <w:rPr>
          <w:rFonts w:hint="eastAsia" w:ascii="Times New Roman" w:hAnsi="Times New Roman" w:eastAsia="宋体" w:cs="Times New Roman"/>
          <w:kern w:val="0"/>
          <w:sz w:val="24"/>
          <w:szCs w:val="24"/>
          <w:lang w:val="en-US" w:eastAsia="zh-CN"/>
        </w:rPr>
        <w:t>自然科学</w:t>
      </w:r>
      <w:r>
        <w:rPr>
          <w:rFonts w:hint="eastAsia" w:ascii="Times New Roman" w:hAnsi="Times New Roman" w:eastAsia="宋体" w:cs="Times New Roman"/>
          <w:kern w:val="0"/>
          <w:sz w:val="24"/>
          <w:szCs w:val="24"/>
        </w:rPr>
        <w:t>奖一等奖</w:t>
      </w:r>
    </w:p>
    <w:p w14:paraId="30D43EBC">
      <w:pPr>
        <w:spacing w:before="156" w:beforeLines="50" w:line="360" w:lineRule="exac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b/>
          <w:kern w:val="0"/>
          <w:sz w:val="24"/>
          <w:szCs w:val="24"/>
        </w:rPr>
        <w:t>项目简介</w:t>
      </w:r>
      <w:r>
        <w:rPr>
          <w:rFonts w:hint="eastAsia" w:ascii="Times New Roman" w:hAnsi="Times New Roman" w:eastAsia="宋体" w:cs="Times New Roman"/>
          <w:color w:val="000000" w:themeColor="text1"/>
          <w:sz w:val="24"/>
          <w:szCs w:val="24"/>
          <w14:textFill>
            <w14:solidFill>
              <w14:schemeClr w14:val="tx1"/>
            </w14:solidFill>
          </w14:textFill>
        </w:rPr>
        <w:t>：</w:t>
      </w:r>
    </w:p>
    <w:p w14:paraId="18D40F27">
      <w:pPr>
        <w:pStyle w:val="2"/>
        <w:kinsoku/>
        <w:spacing w:before="0" w:beforeLines="0" w:line="340" w:lineRule="exact"/>
        <w:ind w:firstLine="480"/>
        <w:rPr>
          <w:rFonts w:hint="eastAsia"/>
          <w:sz w:val="24"/>
        </w:rPr>
      </w:pPr>
      <w:r>
        <w:rPr>
          <w:rFonts w:hint="eastAsia"/>
          <w:sz w:val="24"/>
        </w:rPr>
        <w:t>本项目属环境科学与生态学交叉领域。水环境安全是关系国计民生的重大战略问题，但如何实现从“宏观水质演变”到“微观生态效应”的全链条认知，仍是当前科学面临的重大挑战。项目团队历经十余年协同攻关，以星地多源数据为纽带，构建了“宏观监测—过程解析—风险评估”的系统性研究框架，取得以下重要科学发现：</w:t>
      </w:r>
    </w:p>
    <w:p w14:paraId="0AB5F9F9">
      <w:pPr>
        <w:pStyle w:val="2"/>
        <w:kinsoku/>
        <w:spacing w:before="0" w:beforeLines="0" w:line="340" w:lineRule="exact"/>
        <w:ind w:firstLine="480"/>
        <w:rPr>
          <w:rFonts w:hint="eastAsia"/>
          <w:sz w:val="24"/>
        </w:rPr>
      </w:pPr>
      <w:r>
        <w:rPr>
          <w:rFonts w:hint="eastAsia"/>
          <w:sz w:val="24"/>
          <w:lang w:val="en-US" w:eastAsia="zh-CN"/>
        </w:rPr>
        <w:t>1</w:t>
      </w:r>
      <w:r>
        <w:rPr>
          <w:rFonts w:hint="eastAsia"/>
          <w:sz w:val="24"/>
        </w:rPr>
        <w:t>、建立了基于多源遥感的水质精细化监测技术体系。 创新性地建立了基于Landsat红波段对数变换的TSS遥感估算模型（R²=0.82，RMSE=26.63 mg/L），首次实现中国东部平原湖区16,804个湖泊1984-2019年TSS长时序监测。创立了基于模糊C均值聚类的光学水体质分类新方法，将复杂内陆水体系统划分为三种光学类型，有效解决了“单一算法无法通用”的行业难题。提出了客观化WQI模型优化流程，突破了传统评估主观性强、区域依赖度高的局限。</w:t>
      </w:r>
    </w:p>
    <w:p w14:paraId="75557501">
      <w:pPr>
        <w:pStyle w:val="2"/>
        <w:kinsoku/>
        <w:spacing w:before="0" w:beforeLines="0" w:line="340" w:lineRule="exact"/>
        <w:ind w:firstLine="480"/>
        <w:rPr>
          <w:rFonts w:hint="eastAsia"/>
          <w:sz w:val="24"/>
        </w:rPr>
      </w:pPr>
      <w:r>
        <w:rPr>
          <w:rFonts w:hint="eastAsia"/>
          <w:sz w:val="24"/>
          <w:lang w:val="en-US" w:eastAsia="zh-CN"/>
        </w:rPr>
        <w:t>2</w:t>
      </w:r>
      <w:r>
        <w:rPr>
          <w:rFonts w:hint="eastAsia"/>
          <w:sz w:val="24"/>
        </w:rPr>
        <w:t>、系统揭示了多尺度水体水质的时空演变规律与驱动机制。 发现东部平原湖区82.2%的湖泊TSS呈下降趋势，揭示了自然因素与人类活动对水质演变的差异化贡献（NDVI平均贡献率7.2%，化肥贡献率0.01%-68%）。首次建立了热带岛屿近岸水质季节性演变图谱，量化了城市化、种养殖、工业三大污染源的主导作用。揭示了城市景观格局对水质的“污染-净化”效应机制，确定2000米为最优分析尺度。</w:t>
      </w:r>
    </w:p>
    <w:p w14:paraId="6894A805">
      <w:pPr>
        <w:pStyle w:val="2"/>
        <w:kinsoku/>
        <w:spacing w:before="0" w:beforeLines="0" w:line="340" w:lineRule="exact"/>
        <w:ind w:firstLine="480"/>
        <w:rPr>
          <w:rFonts w:hint="eastAsia"/>
          <w:sz w:val="24"/>
        </w:rPr>
      </w:pPr>
      <w:r>
        <w:rPr>
          <w:rFonts w:hint="eastAsia"/>
          <w:sz w:val="24"/>
          <w:lang w:val="en-US" w:eastAsia="zh-CN"/>
        </w:rPr>
        <w:t>3</w:t>
      </w:r>
      <w:r>
        <w:rPr>
          <w:rFonts w:hint="eastAsia"/>
          <w:sz w:val="24"/>
        </w:rPr>
        <w:t>、首次发现了环境浓度新污染物慢性共暴露的神经行为毒性及其“视觉-神经”双通路机制。 国际上首次报道了ng/L级别甲基/丁基尼泊金酯慢性共暴露导致斑马鱼学习记忆、焦虑、恐惧、攻击性、聚群行为五维度异常，提出了“视网膜结构损伤→光转导通路紊乱→神经递质失调”的完整毒性通路模型，为理解新污染物低剂量长期健康风险提供了全新视角。</w:t>
      </w:r>
    </w:p>
    <w:p w14:paraId="1FCC9BBD">
      <w:pPr>
        <w:pStyle w:val="2"/>
        <w:kinsoku/>
        <w:snapToGrid w:val="0"/>
        <w:spacing w:before="0" w:beforeLines="0" w:line="340" w:lineRule="exact"/>
        <w:ind w:firstLine="480" w:firstLineChars="200"/>
        <w:jc w:val="left"/>
        <w:rPr>
          <w:rFonts w:hint="eastAsia"/>
          <w:sz w:val="24"/>
        </w:rPr>
      </w:pPr>
      <w:r>
        <w:rPr>
          <w:rFonts w:hint="eastAsia"/>
          <w:sz w:val="24"/>
        </w:rPr>
        <w:t>本成果发表于《Science of the Total Environment》、《Environmental Pollution》等国际权威期刊，代表作被Scopus收录引用60余次，被国内外学者在《Environmental Science &amp; Technology》、</w:t>
      </w:r>
      <w:r>
        <w:rPr>
          <w:rFonts w:hint="eastAsia"/>
          <w:sz w:val="24"/>
          <w:lang w:val="en-US" w:eastAsia="zh-CN"/>
        </w:rPr>
        <w:t xml:space="preserve"> </w:t>
      </w:r>
      <w:r>
        <w:rPr>
          <w:rFonts w:hint="eastAsia"/>
          <w:sz w:val="24"/>
        </w:rPr>
        <w:t>《Communications Earth &amp; Environment》、</w:t>
      </w:r>
      <w:r>
        <w:rPr>
          <w:rFonts w:hint="eastAsia"/>
          <w:sz w:val="24"/>
          <w:lang w:val="en-US" w:eastAsia="zh-CN"/>
        </w:rPr>
        <w:t xml:space="preserve"> </w:t>
      </w:r>
      <w:r>
        <w:rPr>
          <w:rFonts w:hint="eastAsia"/>
          <w:sz w:val="24"/>
        </w:rPr>
        <w:t>《Remote Sensing of Environment》等顶级期刊正面引用和积极评价，为水环境遥感监测、差异化管理和新污染物风险管控提</w:t>
      </w:r>
    </w:p>
    <w:p w14:paraId="22C2D8F3">
      <w:pPr>
        <w:pStyle w:val="2"/>
        <w:kinsoku/>
        <w:snapToGrid w:val="0"/>
        <w:spacing w:before="0" w:beforeLines="0" w:line="340" w:lineRule="exact"/>
        <w:ind w:firstLine="0" w:firstLineChars="0"/>
        <w:jc w:val="left"/>
        <w:rPr>
          <w:rFonts w:hint="eastAsia"/>
          <w:sz w:val="24"/>
        </w:rPr>
      </w:pPr>
      <w:r>
        <w:rPr>
          <w:rFonts w:hint="eastAsia"/>
          <w:sz w:val="24"/>
        </w:rPr>
        <w:t>供了重要科学依据。</w:t>
      </w:r>
    </w:p>
    <w:p w14:paraId="1A212ACE">
      <w:pPr>
        <w:spacing w:before="156" w:beforeLines="50" w:line="360" w:lineRule="auto"/>
        <w:ind w:firstLine="0" w:firstLineChars="0"/>
        <w:rPr>
          <w:rFonts w:ascii="Times New Roman" w:hAnsi="Times New Roman" w:eastAsia="宋体" w:cs="Times New Roman"/>
          <w:b/>
          <w:kern w:val="0"/>
          <w:sz w:val="24"/>
          <w:szCs w:val="24"/>
        </w:rPr>
      </w:pPr>
      <w:r>
        <w:rPr>
          <w:rFonts w:hint="eastAsia"/>
          <w:sz w:val="24"/>
        </w:rPr>
        <w:t xml:space="preserve"> </w:t>
      </w:r>
      <w:r>
        <w:rPr>
          <w:rFonts w:ascii="宋体" w:hAnsi="宋体" w:eastAsia="宋体"/>
        </w:rPr>
        <w:t xml:space="preserve"> </w:t>
      </w:r>
      <w:r>
        <w:rPr>
          <w:rFonts w:ascii="Times New Roman" w:hAnsi="Times New Roman" w:eastAsia="宋体" w:cs="Times New Roman"/>
          <w:b/>
          <w:kern w:val="0"/>
          <w:sz w:val="24"/>
          <w:szCs w:val="24"/>
        </w:rPr>
        <w:t>主要完成人情况（序号为排名）：</w:t>
      </w:r>
    </w:p>
    <w:p w14:paraId="7FFD59DA">
      <w:pPr>
        <w:pStyle w:val="9"/>
        <w:numPr>
          <w:ilvl w:val="0"/>
          <w:numId w:val="1"/>
        </w:numPr>
        <w:spacing w:before="156" w:beforeLines="50" w:line="360" w:lineRule="exact"/>
        <w:ind w:left="0" w:firstLine="0" w:firstLineChars="0"/>
        <w:rPr>
          <w:rFonts w:ascii="Times New Roman" w:hAnsi="Times New Roman" w:eastAsia="宋体" w:cs="Times New Roman"/>
          <w:kern w:val="0"/>
          <w:sz w:val="24"/>
          <w:szCs w:val="24"/>
        </w:rPr>
      </w:pPr>
      <w:bookmarkStart w:id="0" w:name="_Hlk154250592"/>
      <w:bookmarkStart w:id="1" w:name="_Hlk192575809"/>
      <w:r>
        <w:rPr>
          <w:rFonts w:hint="eastAsia" w:ascii="Times New Roman" w:hAnsi="Times New Roman" w:eastAsia="宋体" w:cs="Times New Roman"/>
          <w:b/>
          <w:kern w:val="0"/>
          <w:sz w:val="24"/>
          <w:szCs w:val="24"/>
          <w:lang w:val="en-US" w:eastAsia="zh-CN"/>
        </w:rPr>
        <w:t>杜云霞</w:t>
      </w:r>
      <w:r>
        <w:rPr>
          <w:rFonts w:hint="eastAsia" w:ascii="Times New Roman" w:hAnsi="Times New Roman" w:eastAsia="宋体" w:cs="Times New Roman"/>
          <w:kern w:val="0"/>
          <w:sz w:val="24"/>
          <w:szCs w:val="24"/>
        </w:rPr>
        <w:t>，</w:t>
      </w:r>
      <w:r>
        <w:rPr>
          <w:rFonts w:hint="eastAsia" w:ascii="Times New Roman" w:hAnsi="Times New Roman" w:eastAsia="宋体" w:cs="Times New Roman"/>
          <w:kern w:val="0"/>
          <w:sz w:val="24"/>
          <w:szCs w:val="24"/>
          <w:lang w:val="en-US" w:eastAsia="zh-CN"/>
        </w:rPr>
        <w:t>副</w:t>
      </w:r>
      <w:r>
        <w:rPr>
          <w:rFonts w:hint="eastAsia" w:ascii="Times New Roman" w:hAnsi="Times New Roman" w:eastAsia="宋体" w:cs="Times New Roman"/>
          <w:kern w:val="0"/>
          <w:sz w:val="24"/>
          <w:szCs w:val="24"/>
        </w:rPr>
        <w:t>教授，</w:t>
      </w:r>
      <w:r>
        <w:rPr>
          <w:rFonts w:hint="eastAsia" w:ascii="Times New Roman" w:hAnsi="Times New Roman" w:eastAsia="宋体" w:cs="Times New Roman"/>
          <w:kern w:val="0"/>
          <w:sz w:val="24"/>
          <w:szCs w:val="24"/>
          <w:lang w:val="en-US" w:eastAsia="zh-CN"/>
        </w:rPr>
        <w:t>海南师范大学</w:t>
      </w: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工作单位</w:t>
      </w:r>
      <w:r>
        <w:rPr>
          <w:rFonts w:hint="eastAsia" w:ascii="Times New Roman" w:hAnsi="Times New Roman" w:eastAsia="宋体" w:cs="Times New Roman"/>
          <w:kern w:val="0"/>
          <w:sz w:val="24"/>
          <w:szCs w:val="24"/>
        </w:rPr>
        <w:t>和</w:t>
      </w:r>
      <w:r>
        <w:rPr>
          <w:rFonts w:ascii="Times New Roman" w:hAnsi="Times New Roman" w:eastAsia="宋体" w:cs="Times New Roman"/>
          <w:kern w:val="0"/>
          <w:sz w:val="24"/>
          <w:szCs w:val="24"/>
        </w:rPr>
        <w:t>完成单位</w:t>
      </w:r>
      <w:r>
        <w:rPr>
          <w:rFonts w:hint="eastAsia" w:ascii="Times New Roman" w:hAnsi="Times New Roman" w:eastAsia="宋体" w:cs="Times New Roman"/>
          <w:kern w:val="0"/>
          <w:sz w:val="24"/>
          <w:szCs w:val="24"/>
        </w:rPr>
        <w:t>）。作为总负责人，整体负责本项目总体方案设计与实施，对重要科学发现1、2、3做出了突出贡献：主导攻克了“基于多源遥感的内陆及近岸水质精细化监测与评估”核心技术，研发了具有广域适用性的水质参数遥感估算模型；创立了基于光学水体质分类的“分类-反演”协同遥感监测新范式；构建了优化的水质指数（WQI）评估新方法（对应重要科学发现1，代表作1-4）。在湖泊尺度上，首次揭示了东部平原湖区四十年水质变化的完整图景与主导因素；在城市水体尺度上，首次定量揭示了景观格局对城市水质的多尺度影响机制（对应重要科学发现2，代表作1-4）。</w:t>
      </w:r>
    </w:p>
    <w:p w14:paraId="3B8915FF">
      <w:pPr>
        <w:pStyle w:val="9"/>
        <w:numPr>
          <w:ilvl w:val="0"/>
          <w:numId w:val="1"/>
        </w:numPr>
        <w:spacing w:before="156" w:beforeLines="50" w:line="360" w:lineRule="exact"/>
        <w:ind w:left="0" w:firstLine="0" w:firstLineChars="0"/>
        <w:rPr>
          <w:rFonts w:ascii="Times New Roman" w:hAnsi="Times New Roman" w:eastAsia="宋体" w:cs="Times New Roman"/>
          <w:bCs/>
          <w:kern w:val="0"/>
          <w:sz w:val="24"/>
          <w:szCs w:val="24"/>
        </w:rPr>
      </w:pPr>
      <w:r>
        <w:rPr>
          <w:rFonts w:hint="eastAsia" w:ascii="Times New Roman" w:hAnsi="Times New Roman" w:eastAsia="宋体" w:cs="Times New Roman"/>
          <w:b/>
          <w:kern w:val="0"/>
          <w:sz w:val="24"/>
          <w:szCs w:val="24"/>
        </w:rPr>
        <w:t>张纪亮</w:t>
      </w:r>
      <w:r>
        <w:rPr>
          <w:rFonts w:hint="eastAsia" w:ascii="Times New Roman" w:hAnsi="Times New Roman" w:eastAsia="宋体" w:cs="Times New Roman"/>
          <w:b/>
          <w:kern w:val="0"/>
          <w:sz w:val="24"/>
          <w:szCs w:val="24"/>
          <w:lang w:eastAsia="zh-CN"/>
        </w:rPr>
        <w:t>，</w:t>
      </w:r>
      <w:r>
        <w:rPr>
          <w:rFonts w:hint="eastAsia" w:ascii="Times New Roman" w:hAnsi="Times New Roman" w:eastAsia="宋体" w:cs="Times New Roman"/>
          <w:b w:val="0"/>
          <w:bCs/>
          <w:kern w:val="0"/>
          <w:sz w:val="24"/>
          <w:szCs w:val="24"/>
          <w:lang w:val="en-US" w:eastAsia="zh-CN"/>
        </w:rPr>
        <w:t>教授，</w:t>
      </w:r>
      <w:r>
        <w:rPr>
          <w:rFonts w:hint="eastAsia" w:ascii="Times New Roman" w:hAnsi="Times New Roman" w:eastAsia="宋体" w:cs="Times New Roman"/>
          <w:bCs/>
          <w:kern w:val="0"/>
          <w:sz w:val="24"/>
          <w:szCs w:val="24"/>
          <w:lang w:val="en-US" w:eastAsia="zh-CN"/>
        </w:rPr>
        <w:t>海南师范大学</w:t>
      </w:r>
      <w:r>
        <w:rPr>
          <w:rFonts w:hint="eastAsia" w:ascii="Times New Roman" w:hAnsi="Times New Roman" w:eastAsia="宋体" w:cs="Times New Roman"/>
          <w:bCs/>
          <w:kern w:val="0"/>
          <w:sz w:val="24"/>
          <w:szCs w:val="24"/>
        </w:rPr>
        <w:t>（</w:t>
      </w:r>
      <w:r>
        <w:rPr>
          <w:rFonts w:ascii="Times New Roman" w:hAnsi="Times New Roman" w:eastAsia="宋体" w:cs="Times New Roman"/>
          <w:bCs/>
          <w:kern w:val="0"/>
          <w:sz w:val="24"/>
          <w:szCs w:val="24"/>
        </w:rPr>
        <w:t>工作单位</w:t>
      </w:r>
      <w:r>
        <w:rPr>
          <w:rFonts w:hint="eastAsia" w:ascii="Times New Roman" w:hAnsi="Times New Roman" w:eastAsia="宋体" w:cs="Times New Roman"/>
          <w:bCs/>
          <w:kern w:val="0"/>
          <w:sz w:val="24"/>
          <w:szCs w:val="24"/>
        </w:rPr>
        <w:t>和</w:t>
      </w:r>
      <w:r>
        <w:rPr>
          <w:rFonts w:ascii="Times New Roman" w:hAnsi="Times New Roman" w:eastAsia="宋体" w:cs="Times New Roman"/>
          <w:bCs/>
          <w:kern w:val="0"/>
          <w:sz w:val="24"/>
          <w:szCs w:val="24"/>
        </w:rPr>
        <w:t>完成单位</w:t>
      </w:r>
      <w:r>
        <w:rPr>
          <w:rFonts w:hint="eastAsia" w:ascii="Times New Roman" w:hAnsi="Times New Roman" w:eastAsia="宋体" w:cs="Times New Roman"/>
          <w:bCs/>
          <w:kern w:val="0"/>
          <w:sz w:val="24"/>
          <w:szCs w:val="24"/>
        </w:rPr>
        <w:t>）。</w:t>
      </w:r>
      <w:r>
        <w:rPr>
          <w:rFonts w:hint="eastAsia" w:ascii="Times New Roman" w:hAnsi="Times New Roman" w:eastAsia="宋体" w:cs="Times New Roman"/>
          <w:b w:val="0"/>
          <w:bCs/>
          <w:kern w:val="0"/>
          <w:sz w:val="24"/>
          <w:szCs w:val="24"/>
        </w:rPr>
        <w:t>作为项目技术骨干，对重要科学发现3做出了突出贡献：首次发现了环境浓度尼泊金酯慢性共暴露导致斑马鱼多重行为异常的规律；首次揭示了“视觉损伤—光转导通路紊乱—神经递质失调”的新型神经毒性机制；建立了多生物标志物整合评估新框架，发现神经行为是比传统指标更敏感的环境污染预警指标（对应重要科学发现</w:t>
      </w:r>
      <w:r>
        <w:rPr>
          <w:rFonts w:hint="eastAsia" w:ascii="Times New Roman" w:hAnsi="Times New Roman" w:eastAsia="宋体" w:cs="Times New Roman"/>
          <w:b w:val="0"/>
          <w:bCs/>
          <w:kern w:val="0"/>
          <w:sz w:val="24"/>
          <w:szCs w:val="24"/>
          <w:lang w:eastAsia="zh-CN"/>
        </w:rPr>
        <w:t>3</w:t>
      </w:r>
      <w:r>
        <w:rPr>
          <w:rFonts w:hint="eastAsia" w:ascii="Times New Roman" w:hAnsi="Times New Roman" w:eastAsia="宋体" w:cs="Times New Roman"/>
          <w:b w:val="0"/>
          <w:bCs/>
          <w:kern w:val="0"/>
          <w:sz w:val="24"/>
          <w:szCs w:val="24"/>
        </w:rPr>
        <w:t>，代表作5）。</w:t>
      </w:r>
    </w:p>
    <w:p w14:paraId="2CBF1796">
      <w:pPr>
        <w:pStyle w:val="9"/>
        <w:numPr>
          <w:ilvl w:val="0"/>
          <w:numId w:val="1"/>
        </w:numPr>
        <w:spacing w:before="156" w:beforeLines="50" w:line="360" w:lineRule="exact"/>
        <w:ind w:left="0" w:firstLine="0" w:firstLineChars="0"/>
        <w:rPr>
          <w:rFonts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lang w:val="en-US" w:eastAsia="zh-CN"/>
        </w:rPr>
        <w:t>宋勤，讲师，海南师范大学（</w:t>
      </w:r>
      <w:r>
        <w:rPr>
          <w:rFonts w:ascii="Times New Roman" w:hAnsi="Times New Roman" w:eastAsia="宋体" w:cs="Times New Roman"/>
          <w:kern w:val="0"/>
          <w:sz w:val="24"/>
          <w:szCs w:val="24"/>
        </w:rPr>
        <w:t>工作单位</w:t>
      </w:r>
      <w:r>
        <w:rPr>
          <w:rFonts w:hint="eastAsia" w:ascii="Times New Roman" w:hAnsi="Times New Roman" w:eastAsia="宋体" w:cs="Times New Roman"/>
          <w:kern w:val="0"/>
          <w:sz w:val="24"/>
          <w:szCs w:val="24"/>
        </w:rPr>
        <w:t>和</w:t>
      </w:r>
      <w:r>
        <w:rPr>
          <w:rFonts w:ascii="Times New Roman" w:hAnsi="Times New Roman" w:eastAsia="宋体" w:cs="Times New Roman"/>
          <w:kern w:val="0"/>
          <w:sz w:val="24"/>
          <w:szCs w:val="24"/>
        </w:rPr>
        <w:t>完成单位</w:t>
      </w:r>
      <w:r>
        <w:rPr>
          <w:rFonts w:hint="eastAsia" w:ascii="Times New Roman" w:hAnsi="Times New Roman" w:eastAsia="宋体" w:cs="Times New Roman"/>
          <w:bCs/>
          <w:kern w:val="0"/>
          <w:sz w:val="24"/>
          <w:szCs w:val="24"/>
          <w:lang w:val="en-US" w:eastAsia="zh-CN"/>
        </w:rPr>
        <w:t>）。</w:t>
      </w:r>
      <w:r>
        <w:rPr>
          <w:rFonts w:hint="eastAsia" w:ascii="Times New Roman" w:hAnsi="Times New Roman" w:eastAsia="宋体" w:cs="Times New Roman"/>
          <w:bCs/>
          <w:kern w:val="0"/>
          <w:sz w:val="24"/>
          <w:szCs w:val="24"/>
        </w:rPr>
        <w:t>作为项目学术骨干骨干，对重要科学发现2做出了突出贡献：独立完成水环境时空演变分析，在近海尺度上，首次建立了热带岛屿近岸水质的季节性演变图谱与污染源识别方法（对应重要科学发现2，代表作3）。</w:t>
      </w:r>
    </w:p>
    <w:bookmarkEnd w:id="0"/>
    <w:p w14:paraId="15F6A921">
      <w:pPr>
        <w:pStyle w:val="9"/>
        <w:numPr>
          <w:ilvl w:val="-1"/>
          <w:numId w:val="0"/>
        </w:numPr>
        <w:spacing w:before="156" w:beforeLines="50" w:line="360" w:lineRule="exact"/>
        <w:ind w:left="0" w:firstLine="0" w:firstLineChars="0"/>
        <w:rPr>
          <w:rFonts w:ascii="Times New Roman" w:hAnsi="Times New Roman" w:eastAsia="宋体" w:cs="Times New Roman"/>
          <w:color w:val="000000" w:themeColor="text1"/>
          <w:sz w:val="24"/>
          <w:szCs w:val="24"/>
          <w14:textFill>
            <w14:solidFill>
              <w14:schemeClr w14:val="tx1"/>
            </w14:solidFill>
          </w14:textFill>
        </w:rPr>
      </w:pPr>
    </w:p>
    <w:bookmarkEnd w:id="1"/>
    <w:p w14:paraId="62D009FA">
      <w:pPr>
        <w:pStyle w:val="13"/>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0" w:firstLineChars="0"/>
        <w:jc w:val="both"/>
        <w:textAlignment w:val="auto"/>
        <w:outlineLvl w:val="0"/>
        <w:rPr>
          <w:rFonts w:hint="default" w:ascii="Times New Roman" w:hAnsi="Times New Roman" w:eastAsia="宋体" w:cs="Times New Roman"/>
          <w:b/>
          <w:spacing w:val="0"/>
          <w:w w:val="100"/>
          <w:kern w:val="0"/>
          <w:sz w:val="24"/>
          <w:szCs w:val="24"/>
        </w:rPr>
      </w:pPr>
      <w:r>
        <w:rPr>
          <w:rFonts w:hint="default" w:ascii="Times New Roman" w:hAnsi="Times New Roman" w:eastAsia="宋体" w:cs="Times New Roman"/>
          <w:b/>
          <w:spacing w:val="0"/>
          <w:w w:val="100"/>
          <w:kern w:val="0"/>
          <w:sz w:val="24"/>
          <w:szCs w:val="24"/>
          <w:lang w:val="en-US" w:eastAsia="zh-CN"/>
        </w:rPr>
        <w:t>代表性论文（专著）</w:t>
      </w:r>
      <w:r>
        <w:rPr>
          <w:rFonts w:hint="default" w:ascii="Times New Roman" w:eastAsia="宋体" w:cs="Times New Roman"/>
          <w:b/>
          <w:spacing w:val="0"/>
          <w:w w:val="100"/>
          <w:kern w:val="0"/>
          <w:sz w:val="24"/>
          <w:szCs w:val="24"/>
          <w:lang w:val="en-US" w:eastAsia="zh-CN"/>
        </w:rPr>
        <w:t>：</w:t>
      </w:r>
    </w:p>
    <w:tbl>
      <w:tblPr>
        <w:tblStyle w:val="6"/>
        <w:tblW w:w="499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97"/>
        <w:gridCol w:w="2704"/>
        <w:gridCol w:w="927"/>
        <w:gridCol w:w="990"/>
        <w:gridCol w:w="699"/>
        <w:gridCol w:w="792"/>
        <w:gridCol w:w="1478"/>
        <w:gridCol w:w="1025"/>
        <w:gridCol w:w="516"/>
      </w:tblGrid>
      <w:tr w14:paraId="570AE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216" w:type="pct"/>
            <w:noWrap w:val="0"/>
            <w:vAlign w:val="center"/>
          </w:tcPr>
          <w:p w14:paraId="05070C21">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序号</w:t>
            </w:r>
          </w:p>
        </w:tc>
        <w:tc>
          <w:tcPr>
            <w:tcW w:w="1492" w:type="pct"/>
            <w:noWrap w:val="0"/>
            <w:vAlign w:val="center"/>
          </w:tcPr>
          <w:p w14:paraId="6F39BCE6">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论文（专著）名称/刊名</w:t>
            </w:r>
          </w:p>
          <w:p w14:paraId="11E8003E">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/作者</w:t>
            </w:r>
          </w:p>
        </w:tc>
        <w:tc>
          <w:tcPr>
            <w:tcW w:w="550" w:type="pct"/>
            <w:noWrap w:val="0"/>
            <w:vAlign w:val="center"/>
          </w:tcPr>
          <w:p w14:paraId="42F92B2A">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年卷页码（xx年xx卷xx页）</w:t>
            </w:r>
          </w:p>
        </w:tc>
        <w:tc>
          <w:tcPr>
            <w:tcW w:w="382" w:type="pct"/>
            <w:noWrap w:val="0"/>
            <w:vAlign w:val="center"/>
          </w:tcPr>
          <w:p w14:paraId="5A1F280D">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发表时间（年月日）</w:t>
            </w:r>
          </w:p>
        </w:tc>
        <w:tc>
          <w:tcPr>
            <w:tcW w:w="352" w:type="pct"/>
            <w:noWrap w:val="0"/>
            <w:vAlign w:val="center"/>
          </w:tcPr>
          <w:p w14:paraId="1D79D1E1">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通讯作者</w:t>
            </w:r>
          </w:p>
          <w:p w14:paraId="5998EF06">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（含共同）</w:t>
            </w:r>
          </w:p>
        </w:tc>
        <w:tc>
          <w:tcPr>
            <w:tcW w:w="371" w:type="pct"/>
            <w:noWrap w:val="0"/>
            <w:vAlign w:val="center"/>
          </w:tcPr>
          <w:p w14:paraId="6BA13A17">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第一作者</w:t>
            </w:r>
          </w:p>
          <w:p w14:paraId="3D060A0F">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（含共同）</w:t>
            </w:r>
          </w:p>
        </w:tc>
        <w:tc>
          <w:tcPr>
            <w:tcW w:w="842" w:type="pct"/>
            <w:noWrap w:val="0"/>
            <w:vAlign w:val="center"/>
          </w:tcPr>
          <w:p w14:paraId="350D61B5">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rPr>
            </w:pPr>
            <w:r>
              <w:rPr>
                <w:rFonts w:hint="default" w:ascii="Times New Roman" w:hAnsi="Times New Roman" w:eastAsia="仿宋_GB2312" w:cs="Times New Roman"/>
                <w:color w:val="000000"/>
                <w:spacing w:val="0"/>
                <w:w w:val="100"/>
                <w:sz w:val="21"/>
                <w:szCs w:val="21"/>
                <w:highlight w:val="none"/>
              </w:rPr>
              <w:t>国内作者</w:t>
            </w:r>
          </w:p>
        </w:tc>
        <w:tc>
          <w:tcPr>
            <w:tcW w:w="460" w:type="pct"/>
            <w:noWrap w:val="0"/>
            <w:vAlign w:val="center"/>
          </w:tcPr>
          <w:p w14:paraId="17F157F2">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lang w:val="en-US" w:eastAsia="zh-CN"/>
              </w:rPr>
            </w:pPr>
            <w:r>
              <w:rPr>
                <w:rFonts w:hint="default" w:ascii="Times New Roman" w:hAnsi="Times New Roman" w:eastAsia="仿宋_GB2312" w:cs="Times New Roman"/>
                <w:color w:val="000000"/>
                <w:spacing w:val="0"/>
                <w:w w:val="100"/>
                <w:sz w:val="21"/>
                <w:szCs w:val="21"/>
                <w:highlight w:val="none"/>
                <w:lang w:val="en-US" w:eastAsia="zh-CN"/>
              </w:rPr>
              <w:t>检索数据库</w:t>
            </w:r>
          </w:p>
        </w:tc>
        <w:tc>
          <w:tcPr>
            <w:tcW w:w="332" w:type="pct"/>
            <w:noWrap w:val="0"/>
            <w:vAlign w:val="center"/>
          </w:tcPr>
          <w:p w14:paraId="33C0BE8A">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lang w:val="en-US" w:eastAsia="zh-CN"/>
              </w:rPr>
            </w:pPr>
            <w:r>
              <w:rPr>
                <w:rFonts w:hint="default" w:ascii="Times New Roman" w:hAnsi="Times New Roman" w:eastAsia="仿宋_GB2312" w:cs="Times New Roman"/>
                <w:color w:val="000000"/>
                <w:spacing w:val="0"/>
                <w:w w:val="100"/>
                <w:sz w:val="21"/>
                <w:szCs w:val="21"/>
                <w:highlight w:val="none"/>
                <w:lang w:val="en-US" w:eastAsia="zh-CN"/>
              </w:rPr>
              <w:t>是否国内期刊/</w:t>
            </w:r>
          </w:p>
          <w:p w14:paraId="1926BA7C">
            <w:pPr>
              <w:pStyle w:val="2"/>
              <w:adjustRightInd w:val="0"/>
              <w:snapToGrid w:val="0"/>
              <w:spacing w:after="50" w:line="320" w:lineRule="exact"/>
              <w:ind w:firstLine="0" w:firstLineChars="0"/>
              <w:jc w:val="center"/>
              <w:textAlignment w:val="center"/>
              <w:outlineLvl w:val="1"/>
              <w:rPr>
                <w:rFonts w:hint="default" w:ascii="Times New Roman" w:hAnsi="Times New Roman" w:eastAsia="仿宋_GB2312" w:cs="Times New Roman"/>
                <w:color w:val="000000"/>
                <w:spacing w:val="0"/>
                <w:w w:val="100"/>
                <w:sz w:val="21"/>
                <w:szCs w:val="21"/>
                <w:highlight w:val="none"/>
                <w:lang w:val="en-US" w:eastAsia="zh-CN"/>
              </w:rPr>
            </w:pPr>
            <w:r>
              <w:rPr>
                <w:rFonts w:hint="default" w:ascii="Times New Roman" w:hAnsi="Times New Roman" w:eastAsia="仿宋_GB2312" w:cs="Times New Roman"/>
                <w:color w:val="000000"/>
                <w:spacing w:val="0"/>
                <w:w w:val="100"/>
                <w:sz w:val="21"/>
                <w:szCs w:val="21"/>
                <w:highlight w:val="none"/>
                <w:lang w:val="en-US" w:eastAsia="zh-CN"/>
              </w:rPr>
              <w:t>中文论著</w:t>
            </w:r>
          </w:p>
        </w:tc>
      </w:tr>
      <w:tr w14:paraId="38715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68" w:hRule="exact"/>
        </w:trPr>
        <w:tc>
          <w:tcPr>
            <w:tcW w:w="216" w:type="pct"/>
            <w:noWrap w:val="0"/>
            <w:vAlign w:val="center"/>
          </w:tcPr>
          <w:p w14:paraId="417EC87E">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rPr>
              <w:t>1</w:t>
            </w:r>
          </w:p>
        </w:tc>
        <w:tc>
          <w:tcPr>
            <w:tcW w:w="1492" w:type="pct"/>
            <w:noWrap w:val="0"/>
            <w:vAlign w:val="center"/>
          </w:tcPr>
          <w:p w14:paraId="74B70366">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Total suspended solids characterization and management implications for lakes in East China/Science of the Total Environment/Yunxia Du, Kaishan Song, Qiang Wang, Sijia Li, Zhidan Wen, Ge Liu, Hui Tao, Yingxin Shang, Junbin Hou, Lili Lyu, Bai Zhang</w:t>
            </w:r>
          </w:p>
        </w:tc>
        <w:tc>
          <w:tcPr>
            <w:tcW w:w="550" w:type="pct"/>
            <w:noWrap w:val="0"/>
            <w:vAlign w:val="center"/>
          </w:tcPr>
          <w:p w14:paraId="79DF3AA4">
            <w:pPr>
              <w:pStyle w:val="2"/>
              <w:adjustRightInd w:val="0"/>
              <w:snapToGrid w:val="0"/>
              <w:spacing w:after="50" w:line="320" w:lineRule="exact"/>
              <w:ind w:firstLine="420" w:firstLineChars="20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2022年806卷151374页</w:t>
            </w:r>
          </w:p>
        </w:tc>
        <w:tc>
          <w:tcPr>
            <w:tcW w:w="382" w:type="pct"/>
            <w:noWrap w:val="0"/>
            <w:vAlign w:val="center"/>
          </w:tcPr>
          <w:p w14:paraId="5A0777AF">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lang w:eastAsia="zh-CN"/>
              </w:rPr>
            </w:pPr>
            <w:r>
              <w:rPr>
                <w:rFonts w:hint="default" w:ascii="Times New Roman" w:hAnsi="Times New Roman" w:eastAsia="宋体" w:cs="Times New Roman"/>
                <w:i w:val="0"/>
                <w:iCs w:val="0"/>
                <w:caps w:val="0"/>
                <w:color w:val="0F1115"/>
                <w:spacing w:val="0"/>
                <w:sz w:val="21"/>
                <w:szCs w:val="21"/>
                <w:highlight w:val="none"/>
                <w:shd w:val="clear" w:fill="FFFFFF"/>
              </w:rPr>
              <w:t>202</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2</w:t>
            </w:r>
            <w:r>
              <w:rPr>
                <w:rFonts w:hint="default" w:ascii="Times New Roman" w:hAnsi="Times New Roman" w:eastAsia="宋体" w:cs="Times New Roman"/>
                <w:i w:val="0"/>
                <w:iCs w:val="0"/>
                <w:caps w:val="0"/>
                <w:color w:val="0F1115"/>
                <w:spacing w:val="0"/>
                <w:sz w:val="21"/>
                <w:szCs w:val="21"/>
                <w:highlight w:val="none"/>
                <w:shd w:val="clear" w:fill="FFFFFF"/>
              </w:rPr>
              <w:t>-</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2</w:t>
            </w:r>
            <w:r>
              <w:rPr>
                <w:rFonts w:hint="default" w:ascii="Times New Roman" w:hAnsi="Times New Roman" w:eastAsia="宋体" w:cs="Times New Roman"/>
                <w:i w:val="0"/>
                <w:iCs w:val="0"/>
                <w:caps w:val="0"/>
                <w:color w:val="0F1115"/>
                <w:spacing w:val="0"/>
                <w:sz w:val="21"/>
                <w:szCs w:val="21"/>
                <w:highlight w:val="none"/>
                <w:shd w:val="clear" w:fill="FFFFFF"/>
              </w:rPr>
              <w:t>-0</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1</w:t>
            </w:r>
          </w:p>
        </w:tc>
        <w:tc>
          <w:tcPr>
            <w:tcW w:w="352" w:type="pct"/>
            <w:noWrap w:val="0"/>
            <w:vAlign w:val="center"/>
          </w:tcPr>
          <w:p w14:paraId="367188A5">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Kaishan Song</w:t>
            </w:r>
          </w:p>
        </w:tc>
        <w:tc>
          <w:tcPr>
            <w:tcW w:w="371" w:type="pct"/>
            <w:noWrap w:val="0"/>
            <w:vAlign w:val="center"/>
          </w:tcPr>
          <w:p w14:paraId="6F8D62C6">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Yunxia Du</w:t>
            </w:r>
          </w:p>
        </w:tc>
        <w:tc>
          <w:tcPr>
            <w:tcW w:w="842" w:type="pct"/>
            <w:noWrap w:val="0"/>
            <w:vAlign w:val="top"/>
          </w:tcPr>
          <w:p w14:paraId="5490288F">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Yunxia Du, Kaishan Song, Qiang Wang, Sijia Li, Zhidan Wen, Ge Liu, Hui Tao, Yingxin Shang, Junbin Hou, Lili Lyu, Bai Zhang</w:t>
            </w:r>
          </w:p>
        </w:tc>
        <w:tc>
          <w:tcPr>
            <w:tcW w:w="460" w:type="pct"/>
            <w:noWrap w:val="0"/>
            <w:vAlign w:val="top"/>
          </w:tcPr>
          <w:p w14:paraId="57ED368D">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SCI（SCIE）、Scopus、PubMed、MEDLINE</w:t>
            </w:r>
          </w:p>
        </w:tc>
        <w:tc>
          <w:tcPr>
            <w:tcW w:w="332" w:type="pct"/>
            <w:noWrap w:val="0"/>
            <w:vAlign w:val="top"/>
          </w:tcPr>
          <w:p w14:paraId="62DF09E3">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否</w:t>
            </w:r>
          </w:p>
        </w:tc>
      </w:tr>
      <w:tr w14:paraId="02DD8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76" w:hRule="exact"/>
        </w:trPr>
        <w:tc>
          <w:tcPr>
            <w:tcW w:w="216" w:type="pct"/>
            <w:noWrap w:val="0"/>
            <w:vAlign w:val="center"/>
          </w:tcPr>
          <w:p w14:paraId="4C6F32A2">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rPr>
              <w:t>2</w:t>
            </w:r>
          </w:p>
        </w:tc>
        <w:tc>
          <w:tcPr>
            <w:tcW w:w="1492" w:type="pct"/>
            <w:noWrap w:val="0"/>
            <w:vAlign w:val="center"/>
          </w:tcPr>
          <w:p w14:paraId="2A73FE5A">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lang w:val="en-US" w:eastAsia="zh-CN"/>
              </w:rPr>
            </w:pPr>
            <w:r>
              <w:rPr>
                <w:rFonts w:hint="default" w:ascii="Times New Roman" w:hAnsi="Times New Roman" w:eastAsia="宋体" w:cs="Times New Roman"/>
                <w:sz w:val="21"/>
                <w:szCs w:val="21"/>
                <w:highlight w:val="none"/>
              </w:rPr>
              <w:t>Monitoring Optical Variability in Complex Inland Waters Using Satellite Remote Sensing Data</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rPr>
              <w:t>Remote Sensing</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rPr>
              <w:t>Yunxia Du, Kaishan Song, Ge Liu</w:t>
            </w:r>
          </w:p>
        </w:tc>
        <w:tc>
          <w:tcPr>
            <w:tcW w:w="550" w:type="pct"/>
            <w:noWrap w:val="0"/>
            <w:vAlign w:val="center"/>
          </w:tcPr>
          <w:p w14:paraId="37C5F0D5">
            <w:pPr>
              <w:pStyle w:val="2"/>
              <w:adjustRightInd w:val="0"/>
              <w:snapToGrid w:val="0"/>
              <w:spacing w:after="50" w:line="320" w:lineRule="exact"/>
              <w:ind w:firstLine="0" w:firstLineChars="0"/>
              <w:jc w:val="center"/>
              <w:outlineLvl w:val="1"/>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2022年14卷</w:t>
            </w:r>
          </w:p>
          <w:p w14:paraId="5A7B9145">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1910页</w:t>
            </w:r>
          </w:p>
        </w:tc>
        <w:tc>
          <w:tcPr>
            <w:tcW w:w="382" w:type="pct"/>
            <w:noWrap w:val="0"/>
            <w:vAlign w:val="center"/>
          </w:tcPr>
          <w:p w14:paraId="0E92E52D">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2022-04-15</w:t>
            </w:r>
          </w:p>
        </w:tc>
        <w:tc>
          <w:tcPr>
            <w:tcW w:w="352" w:type="pct"/>
            <w:noWrap w:val="0"/>
            <w:vAlign w:val="center"/>
          </w:tcPr>
          <w:p w14:paraId="6423D9C2">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Kaishan Song</w:t>
            </w:r>
          </w:p>
        </w:tc>
        <w:tc>
          <w:tcPr>
            <w:tcW w:w="371" w:type="pct"/>
            <w:noWrap w:val="0"/>
            <w:vAlign w:val="center"/>
          </w:tcPr>
          <w:p w14:paraId="13BB02C6">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Yunxia Du</w:t>
            </w:r>
          </w:p>
        </w:tc>
        <w:tc>
          <w:tcPr>
            <w:tcW w:w="842" w:type="pct"/>
            <w:noWrap w:val="0"/>
            <w:vAlign w:val="top"/>
          </w:tcPr>
          <w:p w14:paraId="71F8F076">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Yunxia Du, Kaishan Song, Ge Liu</w:t>
            </w:r>
          </w:p>
        </w:tc>
        <w:tc>
          <w:tcPr>
            <w:tcW w:w="460" w:type="pct"/>
            <w:noWrap w:val="0"/>
            <w:vAlign w:val="top"/>
          </w:tcPr>
          <w:p w14:paraId="4A11DF47">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SCI（SCIE）、Scopus、EI Compendex</w:t>
            </w:r>
          </w:p>
        </w:tc>
        <w:tc>
          <w:tcPr>
            <w:tcW w:w="332" w:type="pct"/>
            <w:noWrap w:val="0"/>
            <w:vAlign w:val="top"/>
          </w:tcPr>
          <w:p w14:paraId="2C623DF5">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否</w:t>
            </w:r>
          </w:p>
        </w:tc>
      </w:tr>
      <w:tr w14:paraId="2FE73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95" w:hRule="exact"/>
        </w:trPr>
        <w:tc>
          <w:tcPr>
            <w:tcW w:w="216" w:type="pct"/>
            <w:noWrap w:val="0"/>
            <w:vAlign w:val="center"/>
          </w:tcPr>
          <w:p w14:paraId="15475D89">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rPr>
              <w:t>3</w:t>
            </w:r>
          </w:p>
        </w:tc>
        <w:tc>
          <w:tcPr>
            <w:tcW w:w="1492" w:type="pct"/>
            <w:noWrap w:val="0"/>
            <w:vAlign w:val="center"/>
          </w:tcPr>
          <w:p w14:paraId="434E61F6">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Spatiotemporal pattern of coastal water pollution and its driving factors: implications for improving water environment along Hainan Island, China</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rPr>
              <w:t>Frontiers in Microbiology</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rPr>
              <w:t>Yunxia Du, Zhibin Ren, Yingping Zhong, Jinping Zhang, Qin Song</w:t>
            </w:r>
          </w:p>
        </w:tc>
        <w:tc>
          <w:tcPr>
            <w:tcW w:w="550" w:type="pct"/>
            <w:noWrap w:val="0"/>
            <w:vAlign w:val="center"/>
          </w:tcPr>
          <w:p w14:paraId="418998B1">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2024年15卷 138388</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页</w:t>
            </w:r>
          </w:p>
        </w:tc>
        <w:tc>
          <w:tcPr>
            <w:tcW w:w="382" w:type="pct"/>
            <w:noWrap w:val="0"/>
            <w:vAlign w:val="center"/>
          </w:tcPr>
          <w:p w14:paraId="33304424">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2024-04-03</w:t>
            </w:r>
          </w:p>
        </w:tc>
        <w:tc>
          <w:tcPr>
            <w:tcW w:w="352" w:type="pct"/>
            <w:noWrap w:val="0"/>
            <w:vAlign w:val="center"/>
          </w:tcPr>
          <w:p w14:paraId="0C24416E">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Zhibin Ren</w:t>
            </w:r>
          </w:p>
        </w:tc>
        <w:tc>
          <w:tcPr>
            <w:tcW w:w="371" w:type="pct"/>
            <w:noWrap w:val="0"/>
            <w:vAlign w:val="center"/>
          </w:tcPr>
          <w:p w14:paraId="396EB4C2">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Yunxia Du</w:t>
            </w:r>
          </w:p>
        </w:tc>
        <w:tc>
          <w:tcPr>
            <w:tcW w:w="842" w:type="pct"/>
            <w:noWrap w:val="0"/>
            <w:vAlign w:val="top"/>
          </w:tcPr>
          <w:p w14:paraId="170ABA47">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Yunxia Du, Zhibin Ren, Yingping Zhong, Jinping Zhang, Qin Song</w:t>
            </w:r>
          </w:p>
        </w:tc>
        <w:tc>
          <w:tcPr>
            <w:tcW w:w="460" w:type="pct"/>
            <w:noWrap w:val="0"/>
            <w:vAlign w:val="top"/>
          </w:tcPr>
          <w:p w14:paraId="2E78796E">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SCI（SCIE）、Scopus、PubMed、PubMed Central（PMC）</w:t>
            </w:r>
          </w:p>
        </w:tc>
        <w:tc>
          <w:tcPr>
            <w:tcW w:w="332" w:type="pct"/>
            <w:noWrap w:val="0"/>
            <w:vAlign w:val="top"/>
          </w:tcPr>
          <w:p w14:paraId="74572BC1">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否</w:t>
            </w:r>
          </w:p>
        </w:tc>
      </w:tr>
      <w:tr w14:paraId="6BFA7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73" w:hRule="exact"/>
        </w:trPr>
        <w:tc>
          <w:tcPr>
            <w:tcW w:w="216" w:type="pct"/>
            <w:noWrap w:val="0"/>
            <w:vAlign w:val="center"/>
          </w:tcPr>
          <w:p w14:paraId="22EB0961">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rPr>
              <w:t>4</w:t>
            </w:r>
          </w:p>
        </w:tc>
        <w:tc>
          <w:tcPr>
            <w:tcW w:w="1492" w:type="pct"/>
            <w:noWrap w:val="0"/>
            <w:vAlign w:val="center"/>
          </w:tcPr>
          <w:p w14:paraId="70BB0E15">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Research on the Impact of Landscape Pattern in Haikou City on Urban Water Body Quality/Water/Yingping Zhong, Yunxia Du, Ya Huang, Shusong Huang, Jing Pu</w:t>
            </w:r>
          </w:p>
        </w:tc>
        <w:tc>
          <w:tcPr>
            <w:tcW w:w="550" w:type="pct"/>
            <w:noWrap w:val="0"/>
            <w:vAlign w:val="center"/>
          </w:tcPr>
          <w:p w14:paraId="43345C7E">
            <w:pPr>
              <w:pStyle w:val="2"/>
              <w:adjustRightInd w:val="0"/>
              <w:snapToGrid w:val="0"/>
              <w:spacing w:after="50" w:line="320" w:lineRule="exact"/>
              <w:ind w:firstLine="0" w:firstLineChars="0"/>
              <w:jc w:val="center"/>
              <w:outlineLvl w:val="1"/>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2025年17卷</w:t>
            </w:r>
          </w:p>
          <w:p w14:paraId="0E379FC1">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2922页</w:t>
            </w:r>
          </w:p>
        </w:tc>
        <w:tc>
          <w:tcPr>
            <w:tcW w:w="382" w:type="pct"/>
            <w:noWrap w:val="0"/>
            <w:vAlign w:val="center"/>
          </w:tcPr>
          <w:p w14:paraId="39087930">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2025-10-10</w:t>
            </w:r>
          </w:p>
        </w:tc>
        <w:tc>
          <w:tcPr>
            <w:tcW w:w="352" w:type="pct"/>
            <w:noWrap w:val="0"/>
            <w:vAlign w:val="center"/>
          </w:tcPr>
          <w:p w14:paraId="22D9A10E">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Yunxia Du</w:t>
            </w:r>
          </w:p>
        </w:tc>
        <w:tc>
          <w:tcPr>
            <w:tcW w:w="371" w:type="pct"/>
            <w:noWrap w:val="0"/>
            <w:vAlign w:val="center"/>
          </w:tcPr>
          <w:p w14:paraId="7FEA0996">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Yingping Zhong</w:t>
            </w:r>
          </w:p>
        </w:tc>
        <w:tc>
          <w:tcPr>
            <w:tcW w:w="842" w:type="pct"/>
            <w:noWrap w:val="0"/>
            <w:vAlign w:val="top"/>
          </w:tcPr>
          <w:p w14:paraId="339ED3D4">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Yingping Zhong, Yunxia Du, Ya Huang, Shusong Huang, Jing Pu</w:t>
            </w:r>
          </w:p>
        </w:tc>
        <w:tc>
          <w:tcPr>
            <w:tcW w:w="460" w:type="pct"/>
            <w:noWrap w:val="0"/>
            <w:vAlign w:val="top"/>
          </w:tcPr>
          <w:p w14:paraId="18C515B8">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SCI（SCIE）、Scopus、EI Compendex</w:t>
            </w:r>
          </w:p>
        </w:tc>
        <w:tc>
          <w:tcPr>
            <w:tcW w:w="332" w:type="pct"/>
            <w:noWrap w:val="0"/>
            <w:vAlign w:val="top"/>
          </w:tcPr>
          <w:p w14:paraId="7F1049BD">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否</w:t>
            </w:r>
          </w:p>
        </w:tc>
      </w:tr>
      <w:tr w14:paraId="3B94B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5" w:hRule="exact"/>
        </w:trPr>
        <w:tc>
          <w:tcPr>
            <w:tcW w:w="216" w:type="pct"/>
            <w:noWrap w:val="0"/>
            <w:vAlign w:val="center"/>
          </w:tcPr>
          <w:p w14:paraId="2112E533">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rPr>
              <w:t>5</w:t>
            </w:r>
          </w:p>
        </w:tc>
        <w:tc>
          <w:tcPr>
            <w:tcW w:w="1492" w:type="pct"/>
            <w:noWrap w:val="0"/>
            <w:vAlign w:val="center"/>
          </w:tcPr>
          <w:p w14:paraId="0B841D32">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Environmental pollution of paraben needs attention: A study of methylparaben and butylparaben co-exposure trigger neurobehavioral toxicity in zebrafish/Environmental Pollution/Jing Xiang, Bing-Rui Lv , Ya-jun Shi , Wen-ming Chen , Ji-liang Zhang</w:t>
            </w:r>
          </w:p>
        </w:tc>
        <w:tc>
          <w:tcPr>
            <w:tcW w:w="550" w:type="pct"/>
            <w:noWrap w:val="0"/>
            <w:vAlign w:val="center"/>
          </w:tcPr>
          <w:p w14:paraId="5E0A8699">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2024年356卷 124370页</w:t>
            </w:r>
          </w:p>
        </w:tc>
        <w:tc>
          <w:tcPr>
            <w:tcW w:w="382" w:type="pct"/>
            <w:noWrap w:val="0"/>
            <w:vAlign w:val="center"/>
          </w:tcPr>
          <w:p w14:paraId="05580BB0">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lang w:val="en-US" w:eastAsia="zh-CN"/>
              </w:rPr>
            </w:pPr>
            <w:r>
              <w:rPr>
                <w:rFonts w:hint="default" w:ascii="Times New Roman" w:hAnsi="Times New Roman" w:eastAsia="宋体" w:cs="Times New Roman"/>
                <w:sz w:val="21"/>
                <w:szCs w:val="21"/>
                <w:highlight w:val="none"/>
              </w:rPr>
              <w:t>2024-0</w:t>
            </w:r>
            <w:r>
              <w:rPr>
                <w:rFonts w:hint="default" w:ascii="Times New Roman" w:hAnsi="Times New Roman" w:eastAsia="宋体" w:cs="Times New Roman"/>
                <w:sz w:val="21"/>
                <w:szCs w:val="21"/>
                <w:highlight w:val="none"/>
                <w:lang w:val="en-US" w:eastAsia="zh-CN"/>
              </w:rPr>
              <w:t>9</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val="en-US" w:eastAsia="zh-CN"/>
              </w:rPr>
              <w:t>01</w:t>
            </w:r>
          </w:p>
        </w:tc>
        <w:tc>
          <w:tcPr>
            <w:tcW w:w="352" w:type="pct"/>
            <w:noWrap w:val="0"/>
            <w:vAlign w:val="center"/>
          </w:tcPr>
          <w:p w14:paraId="6A280A74">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Ji-liang Zhang</w:t>
            </w:r>
          </w:p>
        </w:tc>
        <w:tc>
          <w:tcPr>
            <w:tcW w:w="371" w:type="pct"/>
            <w:noWrap w:val="0"/>
            <w:vAlign w:val="center"/>
          </w:tcPr>
          <w:p w14:paraId="06013A94">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Jing Xiang</w:t>
            </w:r>
          </w:p>
        </w:tc>
        <w:tc>
          <w:tcPr>
            <w:tcW w:w="842" w:type="pct"/>
            <w:noWrap w:val="0"/>
            <w:vAlign w:val="top"/>
          </w:tcPr>
          <w:p w14:paraId="5A1E0193">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Jing Xiang, Bing-Rui Lv , Ya-jun Shi , Wen-ming Chen , Ji-liang Zhang</w:t>
            </w:r>
          </w:p>
        </w:tc>
        <w:tc>
          <w:tcPr>
            <w:tcW w:w="460" w:type="pct"/>
            <w:noWrap w:val="0"/>
            <w:vAlign w:val="top"/>
          </w:tcPr>
          <w:p w14:paraId="25AC25A2">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sz w:val="21"/>
                <w:szCs w:val="21"/>
                <w:highlight w:val="none"/>
              </w:rPr>
              <w:t>SCI（SCIE）、Scopus、PubMed、MEDLINE</w:t>
            </w:r>
          </w:p>
        </w:tc>
        <w:tc>
          <w:tcPr>
            <w:tcW w:w="332" w:type="pct"/>
            <w:noWrap w:val="0"/>
            <w:vAlign w:val="top"/>
          </w:tcPr>
          <w:p w14:paraId="072EFBDC">
            <w:pPr>
              <w:pStyle w:val="2"/>
              <w:adjustRightInd w:val="0"/>
              <w:snapToGrid w:val="0"/>
              <w:spacing w:after="50" w:line="320" w:lineRule="exact"/>
              <w:ind w:firstLine="0" w:firstLineChars="0"/>
              <w:jc w:val="center"/>
              <w:outlineLvl w:val="1"/>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i w:val="0"/>
                <w:iCs w:val="0"/>
                <w:caps w:val="0"/>
                <w:color w:val="0F1115"/>
                <w:spacing w:val="0"/>
                <w:sz w:val="21"/>
                <w:szCs w:val="21"/>
                <w:highlight w:val="none"/>
                <w:shd w:val="clear" w:fill="FFFFFF"/>
              </w:rPr>
              <w:t>否</w:t>
            </w:r>
          </w:p>
        </w:tc>
      </w:tr>
    </w:tbl>
    <w:p w14:paraId="30372A77">
      <w:pPr>
        <w:spacing w:line="360" w:lineRule="exact"/>
        <w:rPr>
          <w:rFonts w:ascii="Times New Roman" w:hAnsi="Times New Roman" w:eastAsia="宋体" w:cs="Times New Roman"/>
          <w:kern w:val="0"/>
          <w:sz w:val="24"/>
          <w:szCs w:val="24"/>
        </w:rPr>
      </w:pPr>
    </w:p>
    <w:p w14:paraId="02BA3ACA">
      <w:pPr>
        <w:spacing w:line="360" w:lineRule="exact"/>
        <w:rPr>
          <w:rFonts w:ascii="Times New Roman" w:hAnsi="Times New Roman" w:eastAsia="宋体" w:cs="Times New Roman"/>
          <w:kern w:val="0"/>
          <w:sz w:val="24"/>
          <w:szCs w:val="24"/>
        </w:rPr>
      </w:pPr>
    </w:p>
    <w:p w14:paraId="3760FF58">
      <w:pPr>
        <w:spacing w:line="360" w:lineRule="exact"/>
        <w:ind w:firstLine="0" w:firstLineChars="0"/>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主要完成单位：</w:t>
      </w:r>
      <w:bookmarkStart w:id="2" w:name="_Hlk154337953"/>
      <w:r>
        <w:rPr>
          <w:rFonts w:hint="eastAsia" w:ascii="Times New Roman" w:hAnsi="Times New Roman" w:eastAsia="宋体" w:cs="Times New Roman"/>
          <w:b/>
          <w:kern w:val="0"/>
          <w:sz w:val="24"/>
          <w:szCs w:val="24"/>
          <w:lang w:val="en-US" w:eastAsia="zh-CN"/>
        </w:rPr>
        <w:t>海南师范大学</w:t>
      </w:r>
      <w:bookmarkEnd w:id="2"/>
    </w:p>
    <w:sectPr>
      <w:pgSz w:w="11906" w:h="16838"/>
      <w:pgMar w:top="1701" w:right="1247" w:bottom="1701" w:left="124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53F48B"/>
    <w:multiLevelType w:val="singleLevel"/>
    <w:tmpl w:val="E153F48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9BC"/>
    <w:rsid w:val="0000644E"/>
    <w:rsid w:val="000476E6"/>
    <w:rsid w:val="00053D2D"/>
    <w:rsid w:val="00076220"/>
    <w:rsid w:val="00077E70"/>
    <w:rsid w:val="00092458"/>
    <w:rsid w:val="000A639D"/>
    <w:rsid w:val="000A6AC2"/>
    <w:rsid w:val="000A75DE"/>
    <w:rsid w:val="000E7041"/>
    <w:rsid w:val="000F66BC"/>
    <w:rsid w:val="00164D5D"/>
    <w:rsid w:val="0017452F"/>
    <w:rsid w:val="00175A05"/>
    <w:rsid w:val="001A5EEA"/>
    <w:rsid w:val="001B53EA"/>
    <w:rsid w:val="001C52B7"/>
    <w:rsid w:val="001C683A"/>
    <w:rsid w:val="001D54B7"/>
    <w:rsid w:val="00201D19"/>
    <w:rsid w:val="00241875"/>
    <w:rsid w:val="0026133E"/>
    <w:rsid w:val="002C7F4B"/>
    <w:rsid w:val="002D296E"/>
    <w:rsid w:val="002E16F3"/>
    <w:rsid w:val="002E478E"/>
    <w:rsid w:val="00307D74"/>
    <w:rsid w:val="00314B02"/>
    <w:rsid w:val="0033672B"/>
    <w:rsid w:val="00336D5F"/>
    <w:rsid w:val="00350F83"/>
    <w:rsid w:val="00380ED3"/>
    <w:rsid w:val="003D7C82"/>
    <w:rsid w:val="00481245"/>
    <w:rsid w:val="00496F5B"/>
    <w:rsid w:val="004A0F34"/>
    <w:rsid w:val="004C3385"/>
    <w:rsid w:val="004D5A8F"/>
    <w:rsid w:val="004F104C"/>
    <w:rsid w:val="005034CE"/>
    <w:rsid w:val="00573DE7"/>
    <w:rsid w:val="005C2688"/>
    <w:rsid w:val="005E4DC6"/>
    <w:rsid w:val="005F700C"/>
    <w:rsid w:val="00635C98"/>
    <w:rsid w:val="00655354"/>
    <w:rsid w:val="006A2A40"/>
    <w:rsid w:val="006B6881"/>
    <w:rsid w:val="006B7985"/>
    <w:rsid w:val="006F6548"/>
    <w:rsid w:val="00720FE5"/>
    <w:rsid w:val="007849BC"/>
    <w:rsid w:val="007858D4"/>
    <w:rsid w:val="007940E4"/>
    <w:rsid w:val="007A1B39"/>
    <w:rsid w:val="007C5A6C"/>
    <w:rsid w:val="00872205"/>
    <w:rsid w:val="00894D77"/>
    <w:rsid w:val="008A05E9"/>
    <w:rsid w:val="008D2DE3"/>
    <w:rsid w:val="00907A9B"/>
    <w:rsid w:val="0092479A"/>
    <w:rsid w:val="00924B81"/>
    <w:rsid w:val="00986476"/>
    <w:rsid w:val="009E4BF8"/>
    <w:rsid w:val="00A42EA5"/>
    <w:rsid w:val="00A95312"/>
    <w:rsid w:val="00A97E48"/>
    <w:rsid w:val="00B0017A"/>
    <w:rsid w:val="00B42742"/>
    <w:rsid w:val="00B53B0F"/>
    <w:rsid w:val="00B86CB6"/>
    <w:rsid w:val="00BC3F51"/>
    <w:rsid w:val="00BC5745"/>
    <w:rsid w:val="00C33D83"/>
    <w:rsid w:val="00C41571"/>
    <w:rsid w:val="00C42521"/>
    <w:rsid w:val="00C44A7D"/>
    <w:rsid w:val="00D160A5"/>
    <w:rsid w:val="00D53CA9"/>
    <w:rsid w:val="00D97B84"/>
    <w:rsid w:val="00DA7D9F"/>
    <w:rsid w:val="00E122FB"/>
    <w:rsid w:val="00E81221"/>
    <w:rsid w:val="00E82B49"/>
    <w:rsid w:val="00E84124"/>
    <w:rsid w:val="00EA6D8D"/>
    <w:rsid w:val="00FB75D7"/>
    <w:rsid w:val="00FC2159"/>
    <w:rsid w:val="00FF59F7"/>
    <w:rsid w:val="069C5E32"/>
    <w:rsid w:val="090F09DE"/>
    <w:rsid w:val="0EC96857"/>
    <w:rsid w:val="0FB81D67"/>
    <w:rsid w:val="11CA384A"/>
    <w:rsid w:val="128C7C41"/>
    <w:rsid w:val="185F31B6"/>
    <w:rsid w:val="18D82CFA"/>
    <w:rsid w:val="1948321D"/>
    <w:rsid w:val="1B3B1CD0"/>
    <w:rsid w:val="21E604A4"/>
    <w:rsid w:val="253360C7"/>
    <w:rsid w:val="31680AC6"/>
    <w:rsid w:val="36160F00"/>
    <w:rsid w:val="3D172B8F"/>
    <w:rsid w:val="3EB63280"/>
    <w:rsid w:val="3FEA1054"/>
    <w:rsid w:val="3FF25C5F"/>
    <w:rsid w:val="42F22356"/>
    <w:rsid w:val="451A208F"/>
    <w:rsid w:val="46256F3D"/>
    <w:rsid w:val="4BFB1FDB"/>
    <w:rsid w:val="4C9011A8"/>
    <w:rsid w:val="532A45A0"/>
    <w:rsid w:val="575F4B3B"/>
    <w:rsid w:val="58716105"/>
    <w:rsid w:val="59E93D4D"/>
    <w:rsid w:val="610C7F49"/>
    <w:rsid w:val="76C3441F"/>
    <w:rsid w:val="7E0F1777"/>
    <w:rsid w:val="7F4A4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qFormat/>
    <w:uiPriority w:val="0"/>
    <w:pPr>
      <w:spacing w:line="400" w:lineRule="exact"/>
      <w:ind w:firstLine="420" w:firstLineChars="200"/>
    </w:pPr>
    <w:rPr>
      <w:rFonts w:ascii="Times New Roman" w:hAnsi="Times New Roman" w:eastAsia="宋体" w:cs="Times New Roman"/>
      <w:bCs/>
      <w:szCs w:val="21"/>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纯文本 字符"/>
    <w:basedOn w:val="7"/>
    <w:link w:val="2"/>
    <w:qFormat/>
    <w:uiPriority w:val="0"/>
    <w:rPr>
      <w:rFonts w:ascii="Times New Roman" w:hAnsi="Times New Roman" w:eastAsia="宋体" w:cs="Times New Roman"/>
      <w:bCs/>
      <w:szCs w:val="21"/>
    </w:rPr>
  </w:style>
  <w:style w:type="paragraph" w:styleId="9">
    <w:name w:val="List Paragraph"/>
    <w:basedOn w:val="1"/>
    <w:qFormat/>
    <w:uiPriority w:val="34"/>
    <w:pPr>
      <w:ind w:firstLine="420" w:firstLineChars="200"/>
    </w:pPr>
  </w:style>
  <w:style w:type="character" w:customStyle="1" w:styleId="10">
    <w:name w:val="页眉 字符"/>
    <w:basedOn w:val="7"/>
    <w:link w:val="5"/>
    <w:qFormat/>
    <w:uiPriority w:val="99"/>
    <w:rPr>
      <w:sz w:val="18"/>
      <w:szCs w:val="18"/>
    </w:rPr>
  </w:style>
  <w:style w:type="character" w:customStyle="1" w:styleId="11">
    <w:name w:val="页脚 字符"/>
    <w:basedOn w:val="7"/>
    <w:link w:val="4"/>
    <w:qFormat/>
    <w:uiPriority w:val="99"/>
    <w:rPr>
      <w:sz w:val="18"/>
      <w:szCs w:val="18"/>
    </w:rPr>
  </w:style>
  <w:style w:type="character" w:customStyle="1" w:styleId="12">
    <w:name w:val="批注框文本 字符"/>
    <w:basedOn w:val="7"/>
    <w:link w:val="3"/>
    <w:semiHidden/>
    <w:qFormat/>
    <w:uiPriority w:val="99"/>
    <w:rPr>
      <w:sz w:val="18"/>
      <w:szCs w:val="18"/>
    </w:rPr>
  </w:style>
  <w:style w:type="paragraph" w:customStyle="1" w:styleId="13">
    <w:name w:val="_Style 8"/>
    <w:basedOn w:val="1"/>
    <w:next w:val="1"/>
    <w:qFormat/>
    <w:uiPriority w:val="0"/>
    <w:pPr>
      <w:spacing w:line="360" w:lineRule="auto"/>
      <w:ind w:firstLine="480" w:firstLineChars="200"/>
    </w:pPr>
    <w:rPr>
      <w:rFonts w:ascii="仿宋_GB2312" w:hAnsi="Times New Roman" w:eastAsia="宋体" w:cs="Times New Roman"/>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2483</Words>
  <Characters>4058</Characters>
  <Lines>49</Lines>
  <Paragraphs>13</Paragraphs>
  <TotalTime>7</TotalTime>
  <ScaleCrop>false</ScaleCrop>
  <LinksUpToDate>false</LinksUpToDate>
  <CharactersWithSpaces>4315</CharactersWithSpaces>
  <Application>WPS Office_12.1.0.19302_F1E327BC-269C-435d-A152-05C5408002CA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2026-07-05T08:04:00Z</dcterms:created>
  <dc:creator>wang</dc:creator>
  <cp:lastModifiedBy>借山而居</cp:lastModifiedBy>
  <dcterms:modified xsi:type="dcterms:W3CDTF">2026-09-01T07:23:45Z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41EB119C9D0A44A8AB457015D6FD1D02_13</vt:lpwstr>
  </property>
  <property fmtid="{D5CDD505-2E9C-101B-9397-08002B2CF9AE}" pid="4" name="KSOTemplateDocerSaveRecord">
    <vt:lpwstr>eyJoZGlkIjoiZjliMDRlNDM4Mzk3ODkwOGZlMzdmMTQyMjIyODI1ZDkiLCJ1c2VySWQiOiI1NDYxNjEyMzAifQ==</vt:lpwstr>
  </property>
</Properties>
</file>