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b/>
          <w:color w:val="333333"/>
          <w:kern w:val="0"/>
          <w:sz w:val="40"/>
          <w:szCs w:val="40"/>
        </w:rPr>
        <w:t>财政部</w:t>
      </w:r>
      <w:r w:rsidRPr="00C22646">
        <w:rPr>
          <w:rFonts w:ascii="Calibri" w:eastAsia="宋体" w:hAnsi="Calibri" w:cs="宋体"/>
          <w:b/>
          <w:color w:val="333333"/>
          <w:kern w:val="0"/>
          <w:sz w:val="40"/>
          <w:szCs w:val="40"/>
        </w:rPr>
        <w:t xml:space="preserve"> </w:t>
      </w:r>
      <w:r w:rsidRPr="00C22646">
        <w:rPr>
          <w:rFonts w:cs="宋体" w:hint="eastAsia"/>
          <w:b/>
          <w:color w:val="333333"/>
          <w:kern w:val="0"/>
          <w:sz w:val="40"/>
          <w:szCs w:val="40"/>
        </w:rPr>
        <w:t>外交部关于印发《因公临时</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b/>
          <w:color w:val="333333"/>
          <w:kern w:val="0"/>
          <w:sz w:val="40"/>
          <w:szCs w:val="40"/>
        </w:rPr>
        <w:t>出国经费管理办法》的通知</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ascii="楷体_GB2312" w:eastAsia="楷体_GB2312" w:hAnsi="宋体" w:cs="宋体" w:hint="eastAsia"/>
          <w:color w:val="333333"/>
          <w:kern w:val="0"/>
          <w:sz w:val="32"/>
          <w:szCs w:val="32"/>
        </w:rPr>
        <w:t>（财行〔2013〕516号）</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党中央各部门，国务院各部委、各直属机构，总后勤部、武警总部，全国人大常委会办公厅，全国政协办公厅，高法院，高检院，各人民团体，各民主党派，各省、自治区、直辖市、计划单列市财政厅（局）、人民政府外事办公室，新疆生产建设兵团财务局、外事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根据中共中央政治局《关于改进工作作风、密切联系群众的八项规定》的要求和《党政机关厉行节约反对浪费条例》的精神，为进一步规范因公临时出国经费管理，我们对《临时出国人员费用开支标准和管理办法》（财行〔</w:t>
      </w:r>
      <w:r w:rsidRPr="00C22646">
        <w:rPr>
          <w:rFonts w:ascii="Calibri" w:eastAsia="宋体" w:hAnsi="Calibri" w:cs="宋体"/>
          <w:color w:val="333333"/>
          <w:kern w:val="0"/>
          <w:sz w:val="32"/>
          <w:szCs w:val="32"/>
        </w:rPr>
        <w:t>2001</w:t>
      </w:r>
      <w:r w:rsidRPr="00C22646">
        <w:rPr>
          <w:rFonts w:cs="宋体" w:hint="eastAsia"/>
          <w:color w:val="333333"/>
          <w:kern w:val="0"/>
          <w:sz w:val="32"/>
          <w:szCs w:val="32"/>
        </w:rPr>
        <w:t>〕</w:t>
      </w:r>
      <w:r w:rsidRPr="00C22646">
        <w:rPr>
          <w:rFonts w:ascii="Calibri" w:eastAsia="宋体" w:hAnsi="Calibri" w:cs="宋体"/>
          <w:color w:val="333333"/>
          <w:kern w:val="0"/>
          <w:sz w:val="32"/>
          <w:szCs w:val="32"/>
        </w:rPr>
        <w:t>73</w:t>
      </w:r>
      <w:r w:rsidRPr="00C22646">
        <w:rPr>
          <w:rFonts w:cs="宋体" w:hint="eastAsia"/>
          <w:color w:val="333333"/>
          <w:kern w:val="0"/>
          <w:sz w:val="32"/>
          <w:szCs w:val="32"/>
        </w:rPr>
        <w:t>号）进行了修订。现将修订后的《因公临时出国经费管理办法》（以下简称《办法》）印发给你们，请认真遵照执行。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请各地区各部门各单位根据《办法》基本原则和要求，结合实际制定具体规定，并于</w:t>
      </w:r>
      <w:r w:rsidRPr="00C22646">
        <w:rPr>
          <w:rFonts w:ascii="Calibri" w:eastAsia="宋体" w:hAnsi="Calibri" w:cs="宋体"/>
          <w:color w:val="333333"/>
          <w:kern w:val="0"/>
          <w:sz w:val="32"/>
          <w:szCs w:val="32"/>
        </w:rPr>
        <w:t>2014</w:t>
      </w:r>
      <w:r w:rsidRPr="00C22646">
        <w:rPr>
          <w:rFonts w:cs="宋体" w:hint="eastAsia"/>
          <w:color w:val="333333"/>
          <w:kern w:val="0"/>
          <w:sz w:val="32"/>
          <w:szCs w:val="32"/>
        </w:rPr>
        <w:t>年</w:t>
      </w:r>
      <w:r w:rsidRPr="00C22646">
        <w:rPr>
          <w:rFonts w:ascii="Calibri" w:eastAsia="宋体" w:hAnsi="Calibri" w:cs="宋体"/>
          <w:color w:val="333333"/>
          <w:kern w:val="0"/>
          <w:sz w:val="32"/>
          <w:szCs w:val="32"/>
        </w:rPr>
        <w:t>2</w:t>
      </w:r>
      <w:r w:rsidRPr="00C22646">
        <w:rPr>
          <w:rFonts w:cs="宋体" w:hint="eastAsia"/>
          <w:color w:val="333333"/>
          <w:kern w:val="0"/>
          <w:sz w:val="32"/>
          <w:szCs w:val="32"/>
        </w:rPr>
        <w:t>月</w:t>
      </w:r>
      <w:r w:rsidRPr="00C22646">
        <w:rPr>
          <w:rFonts w:ascii="Calibri" w:eastAsia="宋体" w:hAnsi="Calibri" w:cs="宋体"/>
          <w:color w:val="333333"/>
          <w:kern w:val="0"/>
          <w:sz w:val="32"/>
          <w:szCs w:val="32"/>
        </w:rPr>
        <w:t>1</w:t>
      </w:r>
      <w:r w:rsidRPr="00C22646">
        <w:rPr>
          <w:rFonts w:cs="宋体" w:hint="eastAsia"/>
          <w:color w:val="333333"/>
          <w:kern w:val="0"/>
          <w:sz w:val="32"/>
          <w:szCs w:val="32"/>
        </w:rPr>
        <w:t>日前报送财政部备案。边境地区有频繁出国任务的，由所在省、自治区财政厅根据实际情况制定本地区因公临时出国经费开支标准和管理办法，并于</w:t>
      </w:r>
      <w:r w:rsidRPr="00C22646">
        <w:rPr>
          <w:rFonts w:ascii="Calibri" w:eastAsia="宋体" w:hAnsi="Calibri" w:cs="宋体"/>
          <w:color w:val="333333"/>
          <w:kern w:val="0"/>
          <w:sz w:val="32"/>
          <w:szCs w:val="32"/>
        </w:rPr>
        <w:t>2014</w:t>
      </w:r>
      <w:r w:rsidRPr="00C22646">
        <w:rPr>
          <w:rFonts w:cs="宋体" w:hint="eastAsia"/>
          <w:color w:val="333333"/>
          <w:kern w:val="0"/>
          <w:sz w:val="32"/>
          <w:szCs w:val="32"/>
        </w:rPr>
        <w:t>年</w:t>
      </w:r>
      <w:r w:rsidRPr="00C22646">
        <w:rPr>
          <w:rFonts w:ascii="Calibri" w:eastAsia="宋体" w:hAnsi="Calibri" w:cs="宋体"/>
          <w:color w:val="333333"/>
          <w:kern w:val="0"/>
          <w:sz w:val="32"/>
          <w:szCs w:val="32"/>
        </w:rPr>
        <w:t>4</w:t>
      </w:r>
      <w:r w:rsidRPr="00C22646">
        <w:rPr>
          <w:rFonts w:cs="宋体" w:hint="eastAsia"/>
          <w:color w:val="333333"/>
          <w:kern w:val="0"/>
          <w:sz w:val="32"/>
          <w:szCs w:val="32"/>
        </w:rPr>
        <w:t>月</w:t>
      </w:r>
      <w:r w:rsidRPr="00C22646">
        <w:rPr>
          <w:rFonts w:ascii="Calibri" w:eastAsia="宋体" w:hAnsi="Calibri" w:cs="宋体"/>
          <w:color w:val="333333"/>
          <w:kern w:val="0"/>
          <w:sz w:val="32"/>
          <w:szCs w:val="32"/>
        </w:rPr>
        <w:t>1</w:t>
      </w:r>
      <w:r w:rsidRPr="00C22646">
        <w:rPr>
          <w:rFonts w:cs="宋体" w:hint="eastAsia"/>
          <w:color w:val="333333"/>
          <w:kern w:val="0"/>
          <w:sz w:val="32"/>
          <w:szCs w:val="32"/>
        </w:rPr>
        <w:t>日前报送财政部备案。</w:t>
      </w:r>
    </w:p>
    <w:p w:rsidR="00C22646" w:rsidRPr="00C22646" w:rsidRDefault="00C22646" w:rsidP="000E7740">
      <w:pPr>
        <w:widowControl/>
        <w:shd w:val="clear" w:color="auto" w:fill="FFFFFF"/>
        <w:spacing w:afterLines="100" w:line="560" w:lineRule="exact"/>
        <w:ind w:firstLineChars="200" w:firstLine="640"/>
        <w:jc w:val="right"/>
        <w:rPr>
          <w:rFonts w:ascii="宋体" w:eastAsia="宋体" w:hAnsi="宋体" w:cs="宋体"/>
          <w:color w:val="333333"/>
          <w:kern w:val="0"/>
          <w:sz w:val="24"/>
          <w:szCs w:val="24"/>
        </w:rPr>
      </w:pPr>
      <w:r w:rsidRPr="00C22646">
        <w:rPr>
          <w:rFonts w:cs="宋体" w:hint="eastAsia"/>
          <w:color w:val="333333"/>
          <w:kern w:val="0"/>
          <w:sz w:val="32"/>
          <w:szCs w:val="32"/>
        </w:rPr>
        <w:t>财政部</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外交部</w:t>
      </w:r>
    </w:p>
    <w:p w:rsidR="00C22646" w:rsidRPr="00C22646" w:rsidRDefault="00C22646" w:rsidP="000E7740">
      <w:pPr>
        <w:widowControl/>
        <w:shd w:val="clear" w:color="auto" w:fill="FFFFFF"/>
        <w:spacing w:afterLines="100" w:line="560" w:lineRule="exact"/>
        <w:ind w:firstLineChars="200" w:firstLine="640"/>
        <w:jc w:val="right"/>
        <w:rPr>
          <w:rFonts w:ascii="宋体" w:eastAsia="宋体" w:hAnsi="宋体" w:cs="宋体"/>
          <w:color w:val="333333"/>
          <w:kern w:val="0"/>
          <w:sz w:val="24"/>
          <w:szCs w:val="24"/>
        </w:rPr>
      </w:pPr>
      <w:r w:rsidRPr="00C22646">
        <w:rPr>
          <w:rFonts w:ascii="Calibri" w:eastAsia="宋体" w:hAnsi="Calibri" w:cs="宋体"/>
          <w:color w:val="333333"/>
          <w:kern w:val="0"/>
          <w:sz w:val="32"/>
          <w:szCs w:val="32"/>
        </w:rPr>
        <w:t>2013</w:t>
      </w:r>
      <w:r w:rsidRPr="00C22646">
        <w:rPr>
          <w:rFonts w:cs="宋体" w:hint="eastAsia"/>
          <w:color w:val="333333"/>
          <w:kern w:val="0"/>
          <w:sz w:val="32"/>
          <w:szCs w:val="32"/>
        </w:rPr>
        <w:t>年</w:t>
      </w:r>
      <w:r w:rsidRPr="00C22646">
        <w:rPr>
          <w:rFonts w:ascii="Calibri" w:eastAsia="宋体" w:hAnsi="Calibri" w:cs="宋体"/>
          <w:color w:val="333333"/>
          <w:kern w:val="0"/>
          <w:sz w:val="32"/>
          <w:szCs w:val="32"/>
        </w:rPr>
        <w:t>12</w:t>
      </w:r>
      <w:r w:rsidRPr="00C22646">
        <w:rPr>
          <w:rFonts w:cs="宋体" w:hint="eastAsia"/>
          <w:color w:val="333333"/>
          <w:kern w:val="0"/>
          <w:sz w:val="32"/>
          <w:szCs w:val="32"/>
        </w:rPr>
        <w:t>月</w:t>
      </w:r>
      <w:r w:rsidRPr="00C22646">
        <w:rPr>
          <w:rFonts w:ascii="Calibri" w:eastAsia="宋体" w:hAnsi="Calibri" w:cs="宋体"/>
          <w:color w:val="333333"/>
          <w:kern w:val="0"/>
          <w:sz w:val="32"/>
          <w:szCs w:val="32"/>
        </w:rPr>
        <w:t>20</w:t>
      </w:r>
      <w:r w:rsidRPr="00C22646">
        <w:rPr>
          <w:rFonts w:cs="宋体" w:hint="eastAsia"/>
          <w:color w:val="333333"/>
          <w:kern w:val="0"/>
          <w:sz w:val="32"/>
          <w:szCs w:val="32"/>
        </w:rPr>
        <w:t>日</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b/>
          <w:color w:val="333333"/>
          <w:kern w:val="0"/>
          <w:sz w:val="36"/>
          <w:szCs w:val="36"/>
        </w:rPr>
        <w:lastRenderedPageBreak/>
        <w:t>因公临时出国经费管理办法</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color w:val="333333"/>
          <w:kern w:val="0"/>
          <w:sz w:val="32"/>
          <w:szCs w:val="32"/>
        </w:rPr>
        <w:t>第一章</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总</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则</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第一条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为了进一步规范因公临时出国经费管理，加强预算监督，提高资金使用效益，保证外事工作的顺利开展，根据《中华人民共和国预算法》、《党政机关厉行节约反对浪费条例》等法律法规，制定本办法。</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本办法适用于各级党政军机关、人大政协机关、审判机关、检察机关、民主党派、人民团体和事业单位因公组派临时代表团组的省部级以下（含省部级）出国人员（以下简称出国人员）。</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第三条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各地区各部门各单位因公组派临时出国团组应当坚持强化预算约束、优化经费结构、厉行勤俭节约、讲求务实高效的原则，严格控制因公临时出国规模，规范因公临时出国经费管理。</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color w:val="333333"/>
          <w:kern w:val="0"/>
          <w:sz w:val="32"/>
          <w:szCs w:val="32"/>
        </w:rPr>
        <w:t>第二章</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预算管理和计划管理</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第四条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因公临时出国经费应当全部纳入预算管理，并按照下列规定执行：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（一）各级财政部门应当加强因公临时出国经费的预算管理，严格控制因公临时出国经费总额，科学合理地安排因公临时出国经费预算。</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（二）各地区各部门各单位应当加强预算硬约束</w:t>
      </w:r>
      <w:r w:rsidRPr="00C22646">
        <w:rPr>
          <w:rFonts w:ascii="Calibri" w:eastAsia="宋体" w:hAnsi="Calibri" w:cs="宋体"/>
          <w:color w:val="333333"/>
          <w:kern w:val="0"/>
          <w:sz w:val="32"/>
          <w:szCs w:val="32"/>
        </w:rPr>
        <w:t>,</w:t>
      </w:r>
      <w:r w:rsidRPr="00C22646">
        <w:rPr>
          <w:rFonts w:cs="宋体" w:hint="eastAsia"/>
          <w:color w:val="333333"/>
          <w:kern w:val="0"/>
          <w:sz w:val="32"/>
          <w:szCs w:val="32"/>
        </w:rPr>
        <w:t>认真贯彻落实厉行节约的要求，在核定的年度因公临时出国经费预算内，务实高效、精简节约地安排因公临时出国活动，不得超预算或无预算安排出访团组。确有特殊需要的，按规定程序报批。</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第五条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出访团组实行计划审批管理，并按照下列规定执行：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（二）因公临时出国应当坚持因事定人的原则，不得因人找事，不得安排照顾性和无实质内容的一般性出访，不得安排考察性出访。</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（三）各级外事部门应当加强因公临时出国计划的审核审批管理，严格把关，对违反规定、不适合成行的团组予以调整或者取消。驻外使馆答复国内因公临时出国征求意见时，应当严格履行把关职责。</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第六条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各地区各部门各单位出国经费的支付，应当严格按照国库集中支付制度和公务卡管理制度的有关规定执行。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各地区各部门各单位应当严格执行各项经费开支标准，不得擅自突破，严禁接受或变相接受企事业单位资助，严禁向同级机关、下级机关、下属单位、企业、驻外机构等摊派或转嫁出访费用。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第七条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各地区各部门各单位应当建立因公临时出国计划与财务管理的内部控制制度。出访团组应当事先填报《因公临时出国任务和预算审批意见表》（见附</w:t>
      </w:r>
      <w:r w:rsidRPr="00C22646">
        <w:rPr>
          <w:rFonts w:ascii="Calibri" w:eastAsia="宋体" w:hAnsi="Calibri" w:cs="宋体"/>
          <w:color w:val="333333"/>
          <w:kern w:val="0"/>
          <w:sz w:val="32"/>
          <w:szCs w:val="32"/>
        </w:rPr>
        <w:t>1</w:t>
      </w:r>
      <w:r w:rsidRPr="00C22646">
        <w:rPr>
          <w:rFonts w:cs="宋体" w:hint="eastAsia"/>
          <w:color w:val="333333"/>
          <w:kern w:val="0"/>
          <w:sz w:val="32"/>
          <w:szCs w:val="32"/>
        </w:rPr>
        <w:t>），由单位外事和财务部门分别出具审签意见，明确审核责任。出国任务、出国经费预算未通过审核的，不得安排出访团组。</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color w:val="333333"/>
          <w:kern w:val="0"/>
          <w:sz w:val="32"/>
          <w:szCs w:val="32"/>
        </w:rPr>
        <w:t>第三章</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经费管理</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第八条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因公临时出国经费包括：国际旅费、国外城市间交通费、住宿费、伙食费、公杂费和其他费用。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国际旅费，是指出境口岸至入境口岸旅费。</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国外城市间交通费，是指为完成工作任务所必须发生的，在出访国家的城市与城市之间的交通费用。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住宿费是指出国人员在国外发生的住宿费用。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伙食费是指出国人员在国外期间的日常伙食费用。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公杂费是指出国人员在国外期间的市内交通、邮电、办公用品、必要的小费等费用。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其他费用主要是指出国签证费用、必需的保险费用、防疫费用、国际会议注册费用等。</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第九条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国际旅费按照下列规定执行：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（二）按照经济适用的原则，通过政府采购等方式，选择优惠票价，并尽可能购买往返机票。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（四）出国人员应当严格按照规定安排交通工具，不得乘坐民航包机或私人、企业和外国航空公司包机。</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五）省部级人员可以乘坐飞机头等舱、轮船一等舱、火车高级软卧或全列软席列车的商务座；司局级人员可以乘坐飞机公务舱、轮船二等舱、火车软卧或全列软席列车的一等座；其他人员均乘坐飞机经济舱、轮船三等舱、火车硬卧或全列软席列车的二等座。所乘交通工具舱位等级划分与以</w:t>
      </w:r>
      <w:r w:rsidRPr="00C22646">
        <w:rPr>
          <w:rFonts w:cs="宋体" w:hint="eastAsia"/>
          <w:color w:val="333333"/>
          <w:kern w:val="0"/>
          <w:sz w:val="32"/>
          <w:szCs w:val="32"/>
        </w:rPr>
        <w:lastRenderedPageBreak/>
        <w:t>上不一致的，可乘坐同等水平的舱位。所乘交通工具未设置上述规定中本级别人员可乘坐舱位等级的，应乘坐低一等级舱位。上述人员发生的国际旅费据实报销。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（六）出国人员乘坐国际列车，国内段按国内差旅费的有关规定执行；国外段超过</w:t>
      </w:r>
      <w:r w:rsidRPr="00C22646">
        <w:rPr>
          <w:rFonts w:ascii="Calibri" w:eastAsia="宋体" w:hAnsi="Calibri" w:cs="宋体"/>
          <w:color w:val="333333"/>
          <w:kern w:val="0"/>
          <w:sz w:val="32"/>
          <w:szCs w:val="32"/>
        </w:rPr>
        <w:t>6</w:t>
      </w:r>
      <w:r w:rsidRPr="00C22646">
        <w:rPr>
          <w:rFonts w:cs="宋体" w:hint="eastAsia"/>
          <w:color w:val="333333"/>
          <w:kern w:val="0"/>
          <w:sz w:val="32"/>
          <w:szCs w:val="32"/>
        </w:rPr>
        <w:t>小时以上的按自然（日历）天数计算，每人每天补助</w:t>
      </w:r>
      <w:r w:rsidRPr="00C22646">
        <w:rPr>
          <w:rFonts w:ascii="Calibri" w:eastAsia="宋体" w:hAnsi="Calibri" w:cs="宋体"/>
          <w:color w:val="333333"/>
          <w:kern w:val="0"/>
          <w:sz w:val="32"/>
          <w:szCs w:val="32"/>
        </w:rPr>
        <w:t>12</w:t>
      </w:r>
      <w:r w:rsidRPr="00C22646">
        <w:rPr>
          <w:rFonts w:cs="宋体" w:hint="eastAsia"/>
          <w:color w:val="333333"/>
          <w:kern w:val="0"/>
          <w:sz w:val="32"/>
          <w:szCs w:val="32"/>
        </w:rPr>
        <w:t>美元。</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第十一条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住宿费按照下列规定执行：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（一）出国人员应当严格按照规定安排住宿，省部级人员可安排普通套房，住宿费据实报销；厅局级及以下人员安排标准间，在规定的住宿费标准之内予以报销。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第十二条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伙食费和公杂费按照下列规定执行：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（一）出国人员伙食费、公杂费可以按规定的标准发给个人包干使用。包干天数按离、抵我国国境之日计算。</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（二）根据工作需要和特点，不宜个人包干的出访团组，其伙食费和公杂费由出访团组统一掌握，包干使用。</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（三）外方以现金或实物形式提供伙食费和公杂费接待我代表团组的，出国人员不再领取伙食费和公杂费。</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（四）出访用餐应当勤俭节约，不上高档菜肴和酒水，自助餐也要注意节俭。</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第十三条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出访团组对外原则上不搞宴请，确需宴请的，应当连同出国计划一并报批，宴请标准按照所在国家一人一天的伙食费标准掌握。</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出访团组与我国驻外使领馆等外交机构和其他中资机构、企业之间一律不得用公款相互宴请。</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第十四条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出访团组与我国驻外使领馆等外交机构和其他中资机构、企业之间一律不得以任何名义、任何方式互赠礼品或纪念品。</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第十五条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国签证费用、防疫费用、国际会议注册费用等凭有效原始票据据实报销。根据到访国要求，出国人员必须购买保险的，应当事先报经本单位外事和财务部门批准后，按照到访国驻华使领馆要求购买，凭有效原始票据据实报销。</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第十六条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出国人员回国报销费用时，须凭有效票据填报有团组负责人审核签字的国外费用报销单（具体表格由各单位制定）。各种报销凭证须用中文注明开支内容、日期、数量、金额等，并由经办人签字。</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第十七条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中央各部门根据出国经费预算，结合实际购汇需求，自主核定本部门及其所属单位购汇数额，通过财政部批准的人民币资金账户，向外汇指定银行购买外汇。</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省级财政部门根据本级各部门和下级财政部门的申请，自主核定本地区购汇数额，并确定一家外汇指定银行具体办理购汇手续。</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color w:val="333333"/>
          <w:kern w:val="0"/>
          <w:sz w:val="32"/>
          <w:szCs w:val="32"/>
        </w:rPr>
        <w:lastRenderedPageBreak/>
        <w:t>第四章</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监督检查</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第十八条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除涉密内容和事项外，因公临时出国经费的预决算应当按照预决算信息公开的有关规定，及时公开，主动接受社会监督。</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第十九条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组团单位应当采取集中形式，对团组全体人员进行行前财经纪律教育。对出国人员违反本办法规定，有下列行为之一的，除相关开支一律不予报销外，按照《财政违法行为处罚处分条例》等有关规定严肃处理，并追究有关人员责任：</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（一）违规扩大出国经费开支范围的；</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（二）擅自提高经费开支标准的；</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（三）虚报团组级别、人数、国家数、天数等，套取出国经费的；</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（四）使用虚假发票报销出国费用的；</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（五）其他违反本办法的行为。</w:t>
      </w:r>
    </w:p>
    <w:p w:rsidR="00C22646" w:rsidRPr="00C22646" w:rsidRDefault="00C22646" w:rsidP="000E7740">
      <w:pPr>
        <w:widowControl/>
        <w:shd w:val="clear" w:color="auto" w:fill="FFFFFF"/>
        <w:spacing w:afterLines="100" w:line="560" w:lineRule="exact"/>
        <w:jc w:val="center"/>
        <w:rPr>
          <w:rFonts w:ascii="宋体" w:eastAsia="宋体" w:hAnsi="宋体" w:cs="宋体"/>
          <w:color w:val="333333"/>
          <w:kern w:val="0"/>
          <w:sz w:val="24"/>
          <w:szCs w:val="24"/>
        </w:rPr>
      </w:pPr>
      <w:r w:rsidRPr="00C22646">
        <w:rPr>
          <w:rFonts w:cs="宋体" w:hint="eastAsia"/>
          <w:color w:val="333333"/>
          <w:kern w:val="0"/>
          <w:sz w:val="32"/>
          <w:szCs w:val="32"/>
        </w:rPr>
        <w:t>第五章</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附</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则</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第二十一条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各地区各部门各单位因公临时赴香港、澳门、台湾地区的，适用本办法。</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第二十二条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第二十三条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对与我新建交或未建交国家，相关经费开支标准暂按照经济水平相近的邻国标准执行。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第二十四条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财政部、外交部根据出访国家或地区经济发展、物价等变动情况，对相关经费开支标准适时调整。</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第二十五条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国有企业和其他因公临时出国人员参照本办法执行。</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第二十六条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本办法由财政部、外交部负责解释。</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lastRenderedPageBreak/>
        <w:t>第二十七条</w:t>
      </w:r>
      <w:r w:rsidRPr="00C22646">
        <w:rPr>
          <w:rFonts w:ascii="Calibri" w:eastAsia="宋体" w:hAnsi="Calibri" w:cs="宋体"/>
          <w:color w:val="333333"/>
          <w:kern w:val="0"/>
          <w:sz w:val="32"/>
          <w:szCs w:val="32"/>
        </w:rPr>
        <w:t xml:space="preserve"> </w:t>
      </w:r>
      <w:r w:rsidRPr="00C22646">
        <w:rPr>
          <w:rFonts w:cs="宋体" w:hint="eastAsia"/>
          <w:color w:val="333333"/>
          <w:kern w:val="0"/>
          <w:sz w:val="32"/>
          <w:szCs w:val="32"/>
        </w:rPr>
        <w:t>本办法自发布之日起</w:t>
      </w:r>
      <w:r w:rsidRPr="00C22646">
        <w:rPr>
          <w:rFonts w:ascii="Calibri" w:eastAsia="宋体" w:hAnsi="Calibri" w:cs="宋体"/>
          <w:color w:val="333333"/>
          <w:kern w:val="0"/>
          <w:sz w:val="32"/>
          <w:szCs w:val="32"/>
        </w:rPr>
        <w:t>30</w:t>
      </w:r>
      <w:r w:rsidRPr="00C22646">
        <w:rPr>
          <w:rFonts w:cs="宋体" w:hint="eastAsia"/>
          <w:color w:val="333333"/>
          <w:kern w:val="0"/>
          <w:sz w:val="32"/>
          <w:szCs w:val="32"/>
        </w:rPr>
        <w:t>日后施行。财政部、外交部《关于印发</w:t>
      </w:r>
      <w:r w:rsidRPr="00C22646">
        <w:rPr>
          <w:rFonts w:ascii="Calibri" w:eastAsia="宋体" w:hAnsi="Calibri" w:cs="宋体"/>
          <w:color w:val="333333"/>
          <w:kern w:val="0"/>
          <w:sz w:val="32"/>
          <w:szCs w:val="32"/>
        </w:rPr>
        <w:t>&lt;</w:t>
      </w:r>
      <w:r w:rsidRPr="00C22646">
        <w:rPr>
          <w:rFonts w:cs="宋体" w:hint="eastAsia"/>
          <w:color w:val="333333"/>
          <w:kern w:val="0"/>
          <w:sz w:val="32"/>
          <w:szCs w:val="32"/>
        </w:rPr>
        <w:t>临时出国人员费用开支标准和管理办法</w:t>
      </w:r>
      <w:r w:rsidRPr="00C22646">
        <w:rPr>
          <w:rFonts w:ascii="Calibri" w:eastAsia="宋体" w:hAnsi="Calibri" w:cs="宋体"/>
          <w:color w:val="333333"/>
          <w:kern w:val="0"/>
          <w:sz w:val="32"/>
          <w:szCs w:val="32"/>
        </w:rPr>
        <w:t>&gt;</w:t>
      </w:r>
      <w:r w:rsidRPr="00C22646">
        <w:rPr>
          <w:rFonts w:cs="宋体" w:hint="eastAsia"/>
          <w:color w:val="333333"/>
          <w:kern w:val="0"/>
          <w:sz w:val="32"/>
          <w:szCs w:val="32"/>
        </w:rPr>
        <w:t>的通知》（财行〔</w:t>
      </w:r>
      <w:r w:rsidRPr="00C22646">
        <w:rPr>
          <w:rFonts w:ascii="Calibri" w:eastAsia="宋体" w:hAnsi="Calibri" w:cs="宋体"/>
          <w:color w:val="333333"/>
          <w:kern w:val="0"/>
          <w:sz w:val="32"/>
          <w:szCs w:val="32"/>
        </w:rPr>
        <w:t>2001</w:t>
      </w:r>
      <w:r w:rsidRPr="00C22646">
        <w:rPr>
          <w:rFonts w:cs="宋体" w:hint="eastAsia"/>
          <w:color w:val="333333"/>
          <w:kern w:val="0"/>
          <w:sz w:val="32"/>
          <w:szCs w:val="32"/>
        </w:rPr>
        <w:t>〕</w:t>
      </w:r>
      <w:r w:rsidRPr="00C22646">
        <w:rPr>
          <w:rFonts w:ascii="Calibri" w:eastAsia="宋体" w:hAnsi="Calibri" w:cs="宋体"/>
          <w:color w:val="333333"/>
          <w:kern w:val="0"/>
          <w:sz w:val="32"/>
          <w:szCs w:val="32"/>
        </w:rPr>
        <w:t>73</w:t>
      </w:r>
      <w:r w:rsidRPr="00C22646">
        <w:rPr>
          <w:rFonts w:cs="宋体" w:hint="eastAsia"/>
          <w:color w:val="333333"/>
          <w:kern w:val="0"/>
          <w:sz w:val="32"/>
          <w:szCs w:val="32"/>
        </w:rPr>
        <w:t>号）和财政部、中国民用航空总局《关于加强因公出国机票管理的通知》（财外字〔</w:t>
      </w:r>
      <w:r w:rsidRPr="00C22646">
        <w:rPr>
          <w:rFonts w:ascii="Calibri" w:eastAsia="宋体" w:hAnsi="Calibri" w:cs="宋体"/>
          <w:color w:val="333333"/>
          <w:kern w:val="0"/>
          <w:sz w:val="32"/>
          <w:szCs w:val="32"/>
        </w:rPr>
        <w:t>1998</w:t>
      </w:r>
      <w:r w:rsidRPr="00C22646">
        <w:rPr>
          <w:rFonts w:cs="宋体" w:hint="eastAsia"/>
          <w:color w:val="333333"/>
          <w:kern w:val="0"/>
          <w:sz w:val="32"/>
          <w:szCs w:val="32"/>
        </w:rPr>
        <w:t>〕</w:t>
      </w:r>
      <w:r w:rsidRPr="00C22646">
        <w:rPr>
          <w:rFonts w:ascii="Calibri" w:eastAsia="宋体" w:hAnsi="Calibri" w:cs="宋体"/>
          <w:color w:val="333333"/>
          <w:kern w:val="0"/>
          <w:sz w:val="32"/>
          <w:szCs w:val="32"/>
        </w:rPr>
        <w:t>283</w:t>
      </w:r>
      <w:r w:rsidRPr="00C22646">
        <w:rPr>
          <w:rFonts w:cs="宋体" w:hint="eastAsia"/>
          <w:color w:val="333333"/>
          <w:kern w:val="0"/>
          <w:sz w:val="32"/>
          <w:szCs w:val="32"/>
        </w:rPr>
        <w:t>号）同时废止。</w:t>
      </w:r>
    </w:p>
    <w:p w:rsidR="00C22646" w:rsidRPr="00C22646" w:rsidRDefault="00C22646" w:rsidP="000E7740">
      <w:pPr>
        <w:widowControl/>
        <w:shd w:val="clear" w:color="auto" w:fill="FFFFFF"/>
        <w:spacing w:afterLines="100" w:line="560" w:lineRule="exact"/>
        <w:ind w:firstLineChars="200" w:firstLine="640"/>
        <w:jc w:val="left"/>
        <w:rPr>
          <w:rFonts w:ascii="宋体" w:eastAsia="宋体" w:hAnsi="宋体" w:cs="宋体"/>
          <w:color w:val="333333"/>
          <w:kern w:val="0"/>
          <w:sz w:val="24"/>
          <w:szCs w:val="24"/>
        </w:rPr>
      </w:pPr>
      <w:r w:rsidRPr="00C22646">
        <w:rPr>
          <w:rFonts w:cs="宋体" w:hint="eastAsia"/>
          <w:color w:val="333333"/>
          <w:kern w:val="0"/>
          <w:sz w:val="32"/>
          <w:szCs w:val="32"/>
        </w:rPr>
        <w:t>附</w:t>
      </w:r>
      <w:r w:rsidRPr="00C22646">
        <w:rPr>
          <w:rFonts w:ascii="Calibri" w:hAnsi="Calibri" w:cs="宋体" w:hint="eastAsia"/>
          <w:color w:val="333333"/>
          <w:kern w:val="0"/>
          <w:sz w:val="32"/>
          <w:szCs w:val="32"/>
        </w:rPr>
        <w:t>:</w:t>
      </w:r>
      <w:r w:rsidRPr="00C22646">
        <w:rPr>
          <w:rFonts w:ascii="Calibri" w:eastAsia="宋体" w:hAnsi="Calibri" w:cs="宋体"/>
          <w:color w:val="333333"/>
          <w:kern w:val="0"/>
          <w:sz w:val="32"/>
          <w:szCs w:val="32"/>
        </w:rPr>
        <w:t>1.</w:t>
      </w:r>
      <w:hyperlink r:id="rId6" w:tgtFrame="_blank" w:history="1">
        <w:r w:rsidRPr="00C22646">
          <w:rPr>
            <w:rFonts w:cs="宋体" w:hint="eastAsia"/>
            <w:color w:val="000000"/>
            <w:kern w:val="0"/>
            <w:sz w:val="32"/>
          </w:rPr>
          <w:t>因公临时出国任务和预算审批意见表</w:t>
        </w:r>
      </w:hyperlink>
      <w:r w:rsidRPr="00C22646">
        <w:rPr>
          <w:rFonts w:cs="宋体" w:hint="eastAsia"/>
          <w:color w:val="333333"/>
          <w:kern w:val="0"/>
          <w:sz w:val="32"/>
          <w:szCs w:val="32"/>
        </w:rPr>
        <w:t xml:space="preserve"> </w:t>
      </w:r>
    </w:p>
    <w:p w:rsidR="000E7740" w:rsidRDefault="00C22646" w:rsidP="000E7740">
      <w:pPr>
        <w:widowControl/>
        <w:shd w:val="clear" w:color="auto" w:fill="FFFFFF"/>
        <w:spacing w:afterLines="100" w:line="560" w:lineRule="exact"/>
        <w:ind w:firstLineChars="200" w:firstLine="640"/>
        <w:jc w:val="left"/>
      </w:pPr>
      <w:r w:rsidRPr="00C22646">
        <w:rPr>
          <w:rFonts w:ascii="Calibri" w:eastAsia="宋体" w:hAnsi="Calibri" w:cs="宋体"/>
          <w:color w:val="333333"/>
          <w:kern w:val="0"/>
          <w:sz w:val="32"/>
          <w:szCs w:val="32"/>
        </w:rPr>
        <w:t>2.</w:t>
      </w:r>
      <w:hyperlink r:id="rId7" w:tgtFrame="_blank" w:history="1">
        <w:r w:rsidRPr="00C22646">
          <w:rPr>
            <w:rFonts w:cs="宋体" w:hint="eastAsia"/>
            <w:color w:val="000000"/>
            <w:kern w:val="0"/>
            <w:sz w:val="32"/>
          </w:rPr>
          <w:t>各国家和地区住宿费、伙食费、公杂费开支标准表</w:t>
        </w:r>
      </w:hyperlink>
    </w:p>
    <w:p w:rsidR="000E7740" w:rsidRDefault="000E7740">
      <w:pPr>
        <w:widowControl/>
        <w:jc w:val="left"/>
      </w:pPr>
      <w:r>
        <w:br w:type="page"/>
      </w:r>
    </w:p>
    <w:p w:rsidR="000E7740" w:rsidRPr="0077655B" w:rsidRDefault="000E7740" w:rsidP="000E7740">
      <w:pPr>
        <w:spacing w:beforeLines="50" w:line="560" w:lineRule="exact"/>
        <w:rPr>
          <w:rFonts w:ascii="黑体" w:eastAsia="黑体" w:hAnsi="宋体"/>
          <w:bCs/>
          <w:sz w:val="32"/>
          <w:szCs w:val="32"/>
        </w:rPr>
      </w:pPr>
      <w:r w:rsidRPr="0077655B">
        <w:rPr>
          <w:rFonts w:ascii="黑体" w:eastAsia="黑体" w:hAnsi="宋体" w:hint="eastAsia"/>
          <w:bCs/>
          <w:sz w:val="32"/>
          <w:szCs w:val="32"/>
        </w:rPr>
        <w:lastRenderedPageBreak/>
        <w:t>附2</w:t>
      </w:r>
    </w:p>
    <w:p w:rsidR="000E7740" w:rsidRPr="00070BC7" w:rsidRDefault="000E7740" w:rsidP="000E7740">
      <w:pPr>
        <w:spacing w:beforeLines="100" w:afterLines="100" w:line="560" w:lineRule="exact"/>
        <w:jc w:val="center"/>
        <w:rPr>
          <w:rFonts w:ascii="华文中宋" w:eastAsia="华文中宋" w:hAnsi="华文中宋"/>
          <w:b/>
          <w:bCs/>
          <w:sz w:val="32"/>
          <w:szCs w:val="32"/>
        </w:rPr>
      </w:pPr>
      <w:r w:rsidRPr="00070BC7">
        <w:rPr>
          <w:rFonts w:ascii="华文中宋" w:eastAsia="华文中宋" w:hAnsi="华文中宋" w:hint="eastAsia"/>
          <w:b/>
          <w:bCs/>
          <w:sz w:val="32"/>
          <w:szCs w:val="32"/>
        </w:rPr>
        <w:t>各国家和地区住宿费、伙食费、公杂费开支标准表</w:t>
      </w:r>
    </w:p>
    <w:tbl>
      <w:tblPr>
        <w:tblW w:w="8800" w:type="dxa"/>
        <w:jc w:val="center"/>
        <w:tblInd w:w="108" w:type="dxa"/>
        <w:tblLook w:val="04A0"/>
      </w:tblPr>
      <w:tblGrid>
        <w:gridCol w:w="672"/>
        <w:gridCol w:w="1824"/>
        <w:gridCol w:w="2126"/>
        <w:gridCol w:w="709"/>
        <w:gridCol w:w="1150"/>
        <w:gridCol w:w="1134"/>
        <w:gridCol w:w="1185"/>
      </w:tblGrid>
      <w:tr w:rsidR="000E7740" w:rsidRPr="00730B90" w:rsidTr="00527E11">
        <w:trPr>
          <w:trHeight w:val="355"/>
          <w:tblHeader/>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序号</w:t>
            </w:r>
          </w:p>
        </w:tc>
        <w:tc>
          <w:tcPr>
            <w:tcW w:w="1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国家（地区）</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城</w:t>
            </w:r>
            <w:r w:rsidRPr="00C2220C">
              <w:rPr>
                <w:rFonts w:ascii="宋体" w:hAnsi="宋体" w:hint="eastAsia"/>
                <w:b/>
                <w:bCs/>
                <w:szCs w:val="21"/>
              </w:rPr>
              <w:t xml:space="preserve">  </w:t>
            </w:r>
            <w:r w:rsidRPr="00C2220C">
              <w:rPr>
                <w:rFonts w:ascii="宋体" w:hAnsi="宋体"/>
                <w:b/>
                <w:bCs/>
                <w:szCs w:val="21"/>
              </w:rPr>
              <w:t>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币种</w:t>
            </w:r>
          </w:p>
        </w:tc>
        <w:tc>
          <w:tcPr>
            <w:tcW w:w="1150" w:type="dxa"/>
            <w:tcBorders>
              <w:top w:val="single" w:sz="4" w:space="0" w:color="auto"/>
              <w:left w:val="nil"/>
              <w:bottom w:val="nil"/>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住宿费</w:t>
            </w:r>
          </w:p>
        </w:tc>
        <w:tc>
          <w:tcPr>
            <w:tcW w:w="1134" w:type="dxa"/>
            <w:tcBorders>
              <w:top w:val="single" w:sz="4" w:space="0" w:color="auto"/>
              <w:left w:val="nil"/>
              <w:bottom w:val="nil"/>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伙食费</w:t>
            </w:r>
          </w:p>
        </w:tc>
        <w:tc>
          <w:tcPr>
            <w:tcW w:w="1185" w:type="dxa"/>
            <w:tcBorders>
              <w:top w:val="single" w:sz="4" w:space="0" w:color="auto"/>
              <w:left w:val="nil"/>
              <w:bottom w:val="nil"/>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公杂费</w:t>
            </w:r>
          </w:p>
        </w:tc>
      </w:tr>
      <w:tr w:rsidR="000E7740" w:rsidRPr="00730B90" w:rsidTr="00527E11">
        <w:trPr>
          <w:trHeight w:val="221"/>
          <w:tblHeader/>
          <w:jc w:val="center"/>
        </w:trPr>
        <w:tc>
          <w:tcPr>
            <w:tcW w:w="672" w:type="dxa"/>
            <w:vMerge/>
            <w:tcBorders>
              <w:top w:val="single" w:sz="4" w:space="0" w:color="auto"/>
              <w:left w:val="single" w:sz="4" w:space="0" w:color="auto"/>
              <w:bottom w:val="single" w:sz="4" w:space="0" w:color="auto"/>
              <w:right w:val="single" w:sz="4" w:space="0" w:color="auto"/>
            </w:tcBorders>
            <w:vAlign w:val="center"/>
          </w:tcPr>
          <w:p w:rsidR="000E7740" w:rsidRPr="00C2220C" w:rsidRDefault="000E7740" w:rsidP="00527E11">
            <w:pPr>
              <w:spacing w:line="300" w:lineRule="exact"/>
              <w:jc w:val="center"/>
              <w:rPr>
                <w:rFonts w:ascii="宋体" w:hAnsi="宋体"/>
                <w:b/>
                <w:bCs/>
                <w:szCs w:val="21"/>
              </w:rPr>
            </w:pPr>
          </w:p>
        </w:tc>
        <w:tc>
          <w:tcPr>
            <w:tcW w:w="1824" w:type="dxa"/>
            <w:vMerge/>
            <w:tcBorders>
              <w:top w:val="single" w:sz="4" w:space="0" w:color="auto"/>
              <w:left w:val="single" w:sz="4" w:space="0" w:color="auto"/>
              <w:bottom w:val="single" w:sz="4" w:space="0" w:color="auto"/>
              <w:right w:val="single" w:sz="4" w:space="0" w:color="auto"/>
            </w:tcBorders>
            <w:vAlign w:val="center"/>
          </w:tcPr>
          <w:p w:rsidR="000E7740" w:rsidRPr="00C2220C" w:rsidRDefault="000E7740" w:rsidP="00527E11">
            <w:pPr>
              <w:spacing w:line="300" w:lineRule="exact"/>
              <w:jc w:val="center"/>
              <w:rPr>
                <w:rFonts w:ascii="宋体" w:hAnsi="宋体"/>
                <w:b/>
                <w:bCs/>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E7740" w:rsidRPr="00C2220C" w:rsidRDefault="000E7740" w:rsidP="00527E11">
            <w:pPr>
              <w:spacing w:line="300" w:lineRule="exact"/>
              <w:jc w:val="center"/>
              <w:rPr>
                <w:rFonts w:ascii="宋体" w:hAnsi="宋体"/>
                <w:b/>
                <w:bCs/>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E7740" w:rsidRPr="00C2220C" w:rsidRDefault="000E7740" w:rsidP="00527E11">
            <w:pPr>
              <w:spacing w:line="300" w:lineRule="exact"/>
              <w:jc w:val="center"/>
              <w:rPr>
                <w:rFonts w:ascii="宋体" w:hAnsi="宋体"/>
                <w:b/>
                <w:bCs/>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(每人每天)</w:t>
            </w:r>
          </w:p>
        </w:tc>
        <w:tc>
          <w:tcPr>
            <w:tcW w:w="1134" w:type="dxa"/>
            <w:tcBorders>
              <w:top w:val="nil"/>
              <w:left w:val="nil"/>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(每人每天)</w:t>
            </w:r>
          </w:p>
        </w:tc>
        <w:tc>
          <w:tcPr>
            <w:tcW w:w="1185" w:type="dxa"/>
            <w:tcBorders>
              <w:top w:val="nil"/>
              <w:left w:val="nil"/>
              <w:bottom w:val="single" w:sz="4" w:space="0" w:color="auto"/>
              <w:right w:val="single" w:sz="4" w:space="0" w:color="auto"/>
            </w:tcBorders>
            <w:shd w:val="clear" w:color="auto" w:fill="auto"/>
            <w:noWrap/>
            <w:vAlign w:val="center"/>
          </w:tcPr>
          <w:p w:rsidR="000E7740" w:rsidRPr="00C2220C" w:rsidRDefault="000E7740" w:rsidP="00527E11">
            <w:pPr>
              <w:spacing w:line="300" w:lineRule="exact"/>
              <w:jc w:val="center"/>
              <w:rPr>
                <w:rFonts w:ascii="宋体" w:hAnsi="宋体"/>
                <w:b/>
                <w:bCs/>
                <w:szCs w:val="21"/>
              </w:rPr>
            </w:pPr>
            <w:r w:rsidRPr="00C2220C">
              <w:rPr>
                <w:rFonts w:ascii="宋体" w:hAnsi="宋体"/>
                <w:b/>
                <w:bCs/>
                <w:szCs w:val="21"/>
              </w:rPr>
              <w:t>(每人每天)</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b/>
                <w:bCs/>
                <w:szCs w:val="21"/>
              </w:rPr>
            </w:pPr>
            <w:r w:rsidRPr="00AF07D1">
              <w:rPr>
                <w:rFonts w:ascii="宋体" w:hAnsi="宋体"/>
                <w:b/>
                <w:bCs/>
                <w:szCs w:val="21"/>
              </w:rPr>
              <w:t>一</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b/>
                <w:bCs/>
                <w:szCs w:val="21"/>
              </w:rPr>
            </w:pPr>
            <w:r w:rsidRPr="00AF07D1">
              <w:rPr>
                <w:rFonts w:ascii="宋体" w:hAnsi="宋体"/>
                <w:b/>
                <w:bCs/>
                <w:szCs w:val="21"/>
              </w:rPr>
              <w:t>亚 洲</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蒙古</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朝鲜</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韩国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首尔、釜山、济州</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光州、西归浦</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日本</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东京</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日元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大阪、京都</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日元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pacing w:val="-8"/>
                <w:szCs w:val="21"/>
              </w:rPr>
            </w:pPr>
            <w:r w:rsidRPr="00AF07D1">
              <w:rPr>
                <w:rFonts w:ascii="宋体" w:hAnsi="宋体"/>
                <w:spacing w:val="-8"/>
                <w:szCs w:val="21"/>
              </w:rPr>
              <w:t>福冈、札幌、长崎、名古屋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日元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日元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缅甸</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巴基斯坦</w:t>
            </w: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pacing w:val="-8"/>
                <w:szCs w:val="21"/>
              </w:rPr>
            </w:pPr>
            <w:r w:rsidRPr="00AF07D1">
              <w:rPr>
                <w:rFonts w:ascii="宋体" w:hAnsi="宋体"/>
                <w:spacing w:val="-8"/>
                <w:szCs w:val="21"/>
              </w:rPr>
              <w:t>伊斯兰堡、拉合尔、卡拉奇</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奎达</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斯里兰卡</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马尔代夫</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孟加拉</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伊拉克</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w:t>
            </w:r>
          </w:p>
        </w:tc>
        <w:tc>
          <w:tcPr>
            <w:tcW w:w="1824"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阿拉伯联合酋长国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也门</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萨那</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亚丁</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阿曼</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伊朗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科威特</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沙特阿拉伯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利雅得</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吉达</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27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以色列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巴勒斯坦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文莱</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印度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新德里、加尔各答</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孟买</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不丹</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越南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河内</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胡志明市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柬埔寨</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老挝</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马来西亚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菲律宾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印度尼西亚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东帝汶</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泰国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曼谷</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宋卡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清迈、孔敬</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新加坡</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阿富汗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尼泊尔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黎巴嫩</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塞浦路斯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约旦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土耳其</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安卡拉</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伊斯坦布尔</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叙利亚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卡塔尔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香港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港币</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61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澳门</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港币</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台湾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b/>
                <w:bCs/>
                <w:szCs w:val="21"/>
              </w:rPr>
            </w:pPr>
            <w:r w:rsidRPr="00AF07D1">
              <w:rPr>
                <w:rFonts w:ascii="宋体" w:hAnsi="宋体"/>
                <w:b/>
                <w:bCs/>
                <w:szCs w:val="21"/>
              </w:rPr>
              <w:t>二</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b/>
                <w:bCs/>
                <w:szCs w:val="21"/>
              </w:rPr>
            </w:pPr>
            <w:r w:rsidRPr="00AF07D1">
              <w:rPr>
                <w:rFonts w:ascii="宋体" w:hAnsi="宋体"/>
                <w:b/>
                <w:bCs/>
                <w:szCs w:val="21"/>
              </w:rPr>
              <w:t>非 洲</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马达加斯加</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塔那那利佛</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塔马塔夫</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喀麦隆</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多哥</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科特迪瓦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摩洛哥</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阿尔及利亚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卢旺达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几内亚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埃塞俄比亚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厄立特里亚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莫桑比克</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塞舌尔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肯尼亚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利比亚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安哥拉</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赞比亚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几内亚比绍</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突尼斯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布隆迪</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莱索托</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津巴布韦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33</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尼日利亚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阿布贾</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拉各斯</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毛里求斯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索马里</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苏丹</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贝宁</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马里</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94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乌干达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塞拉里昂</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吉布提</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塞内加尔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冈比亚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加蓬</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中非</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布基纳法索</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毛里塔尼亚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尼日尔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乍得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赤道几内亚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加纳</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坦桑尼亚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达累斯萨拉姆</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桑给巴尔</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刚果（金）</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刚果（布）</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埃及</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113</w:t>
            </w:r>
          </w:p>
        </w:tc>
        <w:tc>
          <w:tcPr>
            <w:tcW w:w="1824"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圣多美和普林西比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博茨瓦纳</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南非</w:t>
            </w: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比勒陀尼亚、约翰内斯堡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开普敦</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德班</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纳米比亚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斯威士兰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利比里亚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佛得角</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科摩罗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南苏丹</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马拉维</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b/>
                <w:bCs/>
                <w:szCs w:val="21"/>
              </w:rPr>
            </w:pPr>
            <w:r w:rsidRPr="00AF07D1">
              <w:rPr>
                <w:rFonts w:ascii="宋体" w:hAnsi="宋体"/>
                <w:b/>
                <w:bCs/>
                <w:szCs w:val="21"/>
              </w:rPr>
              <w:t>三</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b/>
                <w:bCs/>
                <w:szCs w:val="21"/>
              </w:rPr>
            </w:pPr>
            <w:r w:rsidRPr="00AF07D1">
              <w:rPr>
                <w:rFonts w:ascii="宋体" w:hAnsi="宋体"/>
                <w:b/>
                <w:bCs/>
                <w:szCs w:val="21"/>
              </w:rPr>
              <w:t>欧 洲</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126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罗马尼亚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布加勒斯特</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康斯坦察</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马其顿</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斯洛文尼亚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波黑</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克罗地亚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阿尔巴尼亚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保加利亚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俄罗斯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莫斯科</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285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哈巴罗夫斯克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叶卡捷琳堡、圣彼得堡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伊尔库茨克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立陶宛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拉脱维亚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爱沙尼亚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乌克兰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基辅</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敖德萨</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阿塞拜疆</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亚美尼亚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格鲁吉亚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吉尔吉斯斯坦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比什凯克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塔吉克斯坦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土库曼斯坦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乌兹别克斯坦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塔什干</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撒马尔罕</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白俄罗斯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哈萨克斯坦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阿斯塔纳</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阿拉木图</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159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摩尔多瓦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波兰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华沙</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革但斯克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德国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柏林、汉堡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慕尼黑</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法兰克福</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荷兰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海牙</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阿姆斯特丹</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意大利</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罗马</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米兰</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佛罗伦萨</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比利时</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奥地利</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希腊</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法国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巴黎</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马赛、斯特拉斯堡、尼斯、里昂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西班牙</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卢森堡</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爱尔兰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葡萄牙</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芬兰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捷克</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斯洛伐克</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匈牙利</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瑞典</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丹麦</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挪威</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80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192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瑞士</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70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冰岛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马耳他</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38</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塞尔维亚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黑山</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欧元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英国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伦敦</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英镑</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曼彻斯特、爱丁堡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英镑</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英镑</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b/>
                <w:bCs/>
                <w:szCs w:val="21"/>
              </w:rPr>
            </w:pPr>
            <w:r w:rsidRPr="00AF07D1">
              <w:rPr>
                <w:rFonts w:ascii="宋体" w:hAnsi="宋体"/>
                <w:b/>
                <w:bCs/>
                <w:szCs w:val="21"/>
              </w:rPr>
              <w:t>四</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b/>
                <w:bCs/>
                <w:szCs w:val="21"/>
              </w:rPr>
            </w:pPr>
            <w:r w:rsidRPr="00AF07D1">
              <w:rPr>
                <w:rFonts w:ascii="宋体" w:hAnsi="宋体"/>
                <w:b/>
                <w:bCs/>
                <w:szCs w:val="21"/>
              </w:rPr>
              <w:t>美 洲</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美国</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华盛顿</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旧金山</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休斯顿</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波士顿</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纽约</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芝加哥</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洛杉矶</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夏威夷</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加拿大</w:t>
            </w: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渥太华、多伦多、卡尔加里、蒙特利尔</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温哥华</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墨西哥</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墨西哥</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蒂华纳</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巴西</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巴西利亚</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圣保罗</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里约热内卢</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219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牙买加</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824"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特立尼达和多巴哥</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厄瓜多尔</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32</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阿根廷</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乌拉圭</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224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智利</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圣地亚哥</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伊基克</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安托法加斯塔、阿里卡</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哥伦比亚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波哥大</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麦德林</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卡塔赫纳</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巴巴多斯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圭亚那</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古巴</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37</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巴拿马</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135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格林纳达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237</w:t>
            </w:r>
          </w:p>
        </w:tc>
        <w:tc>
          <w:tcPr>
            <w:tcW w:w="1824"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安提瓜和巴布达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秘鲁</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玻利维亚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36</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尼加拉瓜</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69"/>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苏里南</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委内瑞拉</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230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海地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43</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波多黎各</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多米尼加</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多米尼克</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巴哈马</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圣卢西亚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阿鲁巴岛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哥斯达黎加</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b/>
                <w:bCs/>
                <w:szCs w:val="21"/>
              </w:rPr>
            </w:pPr>
            <w:r w:rsidRPr="00AF07D1">
              <w:rPr>
                <w:rFonts w:ascii="宋体" w:hAnsi="宋体"/>
                <w:b/>
                <w:bCs/>
                <w:szCs w:val="21"/>
              </w:rPr>
              <w:t>五</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b/>
                <w:bCs/>
                <w:spacing w:val="-8"/>
                <w:szCs w:val="21"/>
              </w:rPr>
            </w:pPr>
            <w:r w:rsidRPr="00AF07D1">
              <w:rPr>
                <w:rFonts w:ascii="宋体" w:hAnsi="宋体"/>
                <w:b/>
                <w:bCs/>
                <w:spacing w:val="-8"/>
                <w:szCs w:val="21"/>
              </w:rPr>
              <w:t>大洋州及太平洋岛屿</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澳大利亚</w:t>
            </w:r>
          </w:p>
        </w:tc>
        <w:tc>
          <w:tcPr>
            <w:tcW w:w="2126"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堪培拉、帕斯、布里斯班</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墨尔本、悉尼</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新西兰</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萨摩亚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170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47</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lastRenderedPageBreak/>
              <w:t>256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斐济</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苏瓦</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楠迪</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其他城市</w:t>
            </w: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110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259</w:t>
            </w:r>
          </w:p>
        </w:tc>
        <w:tc>
          <w:tcPr>
            <w:tcW w:w="1824" w:type="dxa"/>
            <w:tcBorders>
              <w:top w:val="nil"/>
              <w:left w:val="nil"/>
              <w:bottom w:val="single" w:sz="4" w:space="0" w:color="auto"/>
              <w:right w:val="single" w:sz="4" w:space="0" w:color="auto"/>
            </w:tcBorders>
            <w:shd w:val="clear" w:color="auto" w:fill="auto"/>
            <w:vAlign w:val="center"/>
          </w:tcPr>
          <w:p w:rsidR="000E7740" w:rsidRPr="00AF07D1" w:rsidRDefault="000E7740" w:rsidP="00527E11">
            <w:pPr>
              <w:spacing w:line="300" w:lineRule="exact"/>
              <w:rPr>
                <w:rFonts w:ascii="宋体" w:hAnsi="宋体"/>
                <w:szCs w:val="21"/>
              </w:rPr>
            </w:pPr>
            <w:r w:rsidRPr="00AF07D1">
              <w:rPr>
                <w:rFonts w:ascii="宋体" w:hAnsi="宋体"/>
                <w:szCs w:val="21"/>
              </w:rPr>
              <w:t>巴布亚新几内亚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260</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密克罗尼西亚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40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30</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261</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马绍尔群岛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262</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瓦努阿图</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263</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基里巴斯</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195</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55</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264</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汤加</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160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265</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帕劳</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266</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库克群岛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180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267</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所罗门群岛</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200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268</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法属留尼汪</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140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r w:rsidR="000E7740" w:rsidRPr="00730B90" w:rsidTr="00527E11">
        <w:trPr>
          <w:trHeight w:val="34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269</w:t>
            </w:r>
          </w:p>
        </w:tc>
        <w:tc>
          <w:tcPr>
            <w:tcW w:w="182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r w:rsidRPr="00AF07D1">
              <w:rPr>
                <w:rFonts w:ascii="宋体" w:hAnsi="宋体"/>
                <w:szCs w:val="21"/>
              </w:rPr>
              <w:t>法属波利尼西亚</w:t>
            </w:r>
          </w:p>
        </w:tc>
        <w:tc>
          <w:tcPr>
            <w:tcW w:w="2126"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rPr>
                <w:rFonts w:ascii="宋体" w:hAnsi="宋体"/>
                <w:szCs w:val="21"/>
              </w:rPr>
            </w:pPr>
          </w:p>
        </w:tc>
        <w:tc>
          <w:tcPr>
            <w:tcW w:w="709"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美元</w:t>
            </w:r>
          </w:p>
        </w:tc>
        <w:tc>
          <w:tcPr>
            <w:tcW w:w="1150"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240</w:t>
            </w:r>
          </w:p>
        </w:tc>
        <w:tc>
          <w:tcPr>
            <w:tcW w:w="1134"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60</w:t>
            </w:r>
          </w:p>
        </w:tc>
        <w:tc>
          <w:tcPr>
            <w:tcW w:w="1185" w:type="dxa"/>
            <w:tcBorders>
              <w:top w:val="nil"/>
              <w:left w:val="nil"/>
              <w:bottom w:val="single" w:sz="4" w:space="0" w:color="auto"/>
              <w:right w:val="single" w:sz="4" w:space="0" w:color="auto"/>
            </w:tcBorders>
            <w:shd w:val="clear" w:color="auto" w:fill="auto"/>
            <w:noWrap/>
            <w:vAlign w:val="center"/>
          </w:tcPr>
          <w:p w:rsidR="000E7740" w:rsidRPr="00AF07D1" w:rsidRDefault="000E7740" w:rsidP="00527E11">
            <w:pPr>
              <w:spacing w:line="300" w:lineRule="exact"/>
              <w:jc w:val="center"/>
              <w:rPr>
                <w:rFonts w:ascii="宋体" w:hAnsi="宋体"/>
                <w:szCs w:val="21"/>
              </w:rPr>
            </w:pPr>
            <w:r w:rsidRPr="00AF07D1">
              <w:rPr>
                <w:rFonts w:ascii="宋体" w:hAnsi="宋体"/>
                <w:szCs w:val="21"/>
              </w:rPr>
              <w:t>35</w:t>
            </w:r>
          </w:p>
        </w:tc>
      </w:tr>
    </w:tbl>
    <w:p w:rsidR="000E7740" w:rsidRDefault="000E7740" w:rsidP="000E7740"/>
    <w:p w:rsidR="004C41FE" w:rsidRDefault="004C41FE">
      <w:pPr>
        <w:widowControl/>
        <w:jc w:val="left"/>
        <w:rPr>
          <w:rFonts w:ascii="宋体" w:eastAsia="宋体" w:hAnsi="宋体" w:cs="宋体"/>
          <w:color w:val="333333"/>
          <w:kern w:val="0"/>
          <w:sz w:val="24"/>
          <w:szCs w:val="24"/>
        </w:rPr>
      </w:pPr>
      <w:r>
        <w:rPr>
          <w:rFonts w:ascii="宋体" w:eastAsia="宋体" w:hAnsi="宋体" w:cs="宋体"/>
          <w:color w:val="333333"/>
          <w:kern w:val="0"/>
          <w:sz w:val="24"/>
          <w:szCs w:val="24"/>
        </w:rPr>
        <w:br w:type="page"/>
      </w:r>
    </w:p>
    <w:p w:rsidR="004C41FE" w:rsidRPr="0077655B" w:rsidRDefault="004C41FE" w:rsidP="004C41FE">
      <w:pPr>
        <w:spacing w:line="560" w:lineRule="exact"/>
        <w:rPr>
          <w:rFonts w:ascii="黑体" w:eastAsia="黑体"/>
          <w:sz w:val="32"/>
          <w:szCs w:val="32"/>
        </w:rPr>
      </w:pPr>
      <w:r w:rsidRPr="0077655B">
        <w:rPr>
          <w:rFonts w:ascii="黑体" w:eastAsia="黑体" w:hint="eastAsia"/>
          <w:sz w:val="32"/>
          <w:szCs w:val="32"/>
        </w:rPr>
        <w:lastRenderedPageBreak/>
        <w:t>附1</w:t>
      </w:r>
    </w:p>
    <w:p w:rsidR="004C41FE" w:rsidRPr="0077655B" w:rsidRDefault="004C41FE" w:rsidP="004C41FE">
      <w:pPr>
        <w:spacing w:line="560" w:lineRule="exact"/>
        <w:jc w:val="center"/>
        <w:rPr>
          <w:rFonts w:ascii="华文中宋" w:eastAsia="华文中宋" w:hAnsi="华文中宋"/>
          <w:b/>
          <w:sz w:val="32"/>
          <w:szCs w:val="32"/>
        </w:rPr>
      </w:pPr>
      <w:r w:rsidRPr="0077655B">
        <w:rPr>
          <w:rFonts w:ascii="华文中宋" w:eastAsia="华文中宋" w:hAnsi="华文中宋" w:hint="eastAsia"/>
          <w:b/>
          <w:sz w:val="32"/>
          <w:szCs w:val="32"/>
        </w:rPr>
        <w:t>因公临时出国任务和预算审批意见表</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6"/>
        <w:gridCol w:w="1260"/>
        <w:gridCol w:w="696"/>
        <w:gridCol w:w="565"/>
        <w:gridCol w:w="866"/>
        <w:gridCol w:w="6"/>
        <w:gridCol w:w="390"/>
        <w:gridCol w:w="1199"/>
        <w:gridCol w:w="10"/>
        <w:gridCol w:w="52"/>
        <w:gridCol w:w="1260"/>
        <w:gridCol w:w="1261"/>
      </w:tblGrid>
      <w:tr w:rsidR="004C41FE" w:rsidRPr="00AF07D1" w:rsidTr="00527E11">
        <w:trPr>
          <w:trHeight w:val="432"/>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团组名称</w:t>
            </w:r>
          </w:p>
        </w:tc>
        <w:tc>
          <w:tcPr>
            <w:tcW w:w="7563" w:type="dxa"/>
            <w:gridSpan w:val="11"/>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组团单位</w:t>
            </w:r>
          </w:p>
        </w:tc>
        <w:tc>
          <w:tcPr>
            <w:tcW w:w="1956" w:type="dxa"/>
            <w:gridSpan w:val="2"/>
            <w:vAlign w:val="center"/>
          </w:tcPr>
          <w:p w:rsidR="004C41FE" w:rsidRPr="00AF07D1" w:rsidRDefault="004C41FE" w:rsidP="00527E11">
            <w:pPr>
              <w:spacing w:line="560" w:lineRule="exact"/>
              <w:rPr>
                <w:rFonts w:ascii="宋体" w:hAnsi="宋体"/>
                <w:szCs w:val="21"/>
              </w:rPr>
            </w:pPr>
          </w:p>
        </w:tc>
        <w:tc>
          <w:tcPr>
            <w:tcW w:w="1437" w:type="dxa"/>
            <w:gridSpan w:val="3"/>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团长（级别）</w:t>
            </w:r>
          </w:p>
        </w:tc>
        <w:tc>
          <w:tcPr>
            <w:tcW w:w="1589" w:type="dxa"/>
            <w:gridSpan w:val="2"/>
            <w:vAlign w:val="center"/>
          </w:tcPr>
          <w:p w:rsidR="004C41FE" w:rsidRPr="00AF07D1" w:rsidRDefault="004C41FE" w:rsidP="00527E11">
            <w:pPr>
              <w:spacing w:line="560" w:lineRule="exact"/>
              <w:rPr>
                <w:rFonts w:ascii="宋体" w:hAnsi="宋体"/>
                <w:szCs w:val="21"/>
              </w:rPr>
            </w:pPr>
          </w:p>
        </w:tc>
        <w:tc>
          <w:tcPr>
            <w:tcW w:w="1320" w:type="dxa"/>
            <w:gridSpan w:val="3"/>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团员人数</w:t>
            </w:r>
          </w:p>
        </w:tc>
        <w:tc>
          <w:tcPr>
            <w:tcW w:w="1261" w:type="dxa"/>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4579" w:type="dxa"/>
            <w:gridSpan w:val="6"/>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出访国别（含经停）</w:t>
            </w:r>
          </w:p>
        </w:tc>
        <w:tc>
          <w:tcPr>
            <w:tcW w:w="4170" w:type="dxa"/>
            <w:gridSpan w:val="6"/>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培训时间（天数）</w:t>
            </w:r>
          </w:p>
        </w:tc>
      </w:tr>
      <w:tr w:rsidR="004C41FE" w:rsidRPr="00AF07D1" w:rsidTr="00527E11">
        <w:trPr>
          <w:trHeight w:val="271"/>
          <w:jc w:val="center"/>
        </w:trPr>
        <w:tc>
          <w:tcPr>
            <w:tcW w:w="8749" w:type="dxa"/>
            <w:gridSpan w:val="12"/>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出国任务审核意见</w:t>
            </w:r>
          </w:p>
        </w:tc>
      </w:tr>
      <w:tr w:rsidR="004C41FE" w:rsidRPr="00AF07D1" w:rsidTr="00527E11">
        <w:trPr>
          <w:trHeight w:val="326"/>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审核单位</w:t>
            </w:r>
          </w:p>
        </w:tc>
        <w:tc>
          <w:tcPr>
            <w:tcW w:w="3393" w:type="dxa"/>
            <w:gridSpan w:val="5"/>
            <w:vAlign w:val="center"/>
          </w:tcPr>
          <w:p w:rsidR="004C41FE" w:rsidRPr="00AF07D1" w:rsidRDefault="004C41FE" w:rsidP="00527E11">
            <w:pPr>
              <w:spacing w:line="560" w:lineRule="exact"/>
              <w:rPr>
                <w:rFonts w:ascii="宋体" w:hAnsi="宋体"/>
                <w:szCs w:val="21"/>
              </w:rPr>
            </w:pPr>
          </w:p>
        </w:tc>
        <w:tc>
          <w:tcPr>
            <w:tcW w:w="1599" w:type="dxa"/>
            <w:gridSpan w:val="3"/>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审核日期</w:t>
            </w:r>
          </w:p>
        </w:tc>
        <w:tc>
          <w:tcPr>
            <w:tcW w:w="2571" w:type="dxa"/>
            <w:gridSpan w:val="3"/>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审核依据</w:t>
            </w:r>
          </w:p>
        </w:tc>
        <w:tc>
          <w:tcPr>
            <w:tcW w:w="7563" w:type="dxa"/>
            <w:gridSpan w:val="11"/>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1186" w:type="dxa"/>
            <w:vMerge w:val="restart"/>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审核内容</w:t>
            </w: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是否列入出国计划：</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出访目标和必要性：</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时间和国别是否符合规定：</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路线是否符合规定：</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团组人数是否符合规定：</w:t>
            </w:r>
          </w:p>
        </w:tc>
      </w:tr>
      <w:tr w:rsidR="004C41FE" w:rsidRPr="00AF07D1" w:rsidTr="00527E11">
        <w:trPr>
          <w:trHeight w:val="109"/>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其他事项：</w:t>
            </w:r>
          </w:p>
        </w:tc>
      </w:tr>
      <w:tr w:rsidR="004C41FE" w:rsidRPr="00AF07D1" w:rsidTr="00527E11">
        <w:trPr>
          <w:trHeight w:val="326"/>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审核意见</w:t>
            </w:r>
          </w:p>
        </w:tc>
        <w:tc>
          <w:tcPr>
            <w:tcW w:w="7563" w:type="dxa"/>
            <w:gridSpan w:val="11"/>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8749" w:type="dxa"/>
            <w:gridSpan w:val="12"/>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预算财务审核意见</w:t>
            </w:r>
          </w:p>
        </w:tc>
      </w:tr>
      <w:tr w:rsidR="004C41FE" w:rsidRPr="00AF07D1" w:rsidTr="00527E11">
        <w:trPr>
          <w:trHeight w:val="326"/>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审核单位</w:t>
            </w:r>
          </w:p>
        </w:tc>
        <w:tc>
          <w:tcPr>
            <w:tcW w:w="3387" w:type="dxa"/>
            <w:gridSpan w:val="4"/>
            <w:vAlign w:val="center"/>
          </w:tcPr>
          <w:p w:rsidR="004C41FE" w:rsidRPr="00AF07D1" w:rsidRDefault="004C41FE" w:rsidP="00527E11">
            <w:pPr>
              <w:spacing w:line="560" w:lineRule="exact"/>
              <w:rPr>
                <w:rFonts w:ascii="宋体" w:hAnsi="宋体"/>
                <w:szCs w:val="21"/>
              </w:rPr>
            </w:pPr>
          </w:p>
        </w:tc>
        <w:tc>
          <w:tcPr>
            <w:tcW w:w="1595" w:type="dxa"/>
            <w:gridSpan w:val="3"/>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审核日期</w:t>
            </w:r>
          </w:p>
        </w:tc>
        <w:tc>
          <w:tcPr>
            <w:tcW w:w="2581" w:type="dxa"/>
            <w:gridSpan w:val="4"/>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241"/>
          <w:jc w:val="center"/>
        </w:trPr>
        <w:tc>
          <w:tcPr>
            <w:tcW w:w="1186"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审核依据</w:t>
            </w:r>
          </w:p>
        </w:tc>
        <w:tc>
          <w:tcPr>
            <w:tcW w:w="7563" w:type="dxa"/>
            <w:gridSpan w:val="11"/>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1186" w:type="dxa"/>
            <w:vMerge w:val="restart"/>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审核内容</w:t>
            </w: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是否列入年度预算：</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1260"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合  计</w:t>
            </w:r>
          </w:p>
        </w:tc>
        <w:tc>
          <w:tcPr>
            <w:tcW w:w="1261" w:type="dxa"/>
            <w:gridSpan w:val="2"/>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国际旅费</w:t>
            </w:r>
          </w:p>
        </w:tc>
        <w:tc>
          <w:tcPr>
            <w:tcW w:w="1262" w:type="dxa"/>
            <w:gridSpan w:val="3"/>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住宿费</w:t>
            </w:r>
          </w:p>
        </w:tc>
        <w:tc>
          <w:tcPr>
            <w:tcW w:w="1261" w:type="dxa"/>
            <w:gridSpan w:val="3"/>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伙食费</w:t>
            </w:r>
          </w:p>
        </w:tc>
        <w:tc>
          <w:tcPr>
            <w:tcW w:w="1260"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公杂费</w:t>
            </w:r>
          </w:p>
        </w:tc>
        <w:tc>
          <w:tcPr>
            <w:tcW w:w="1261" w:type="dxa"/>
            <w:vAlign w:val="center"/>
          </w:tcPr>
          <w:p w:rsidR="004C41FE" w:rsidRPr="00AF07D1" w:rsidRDefault="004C41FE" w:rsidP="00527E11">
            <w:pPr>
              <w:spacing w:line="560" w:lineRule="exact"/>
              <w:jc w:val="center"/>
              <w:rPr>
                <w:rFonts w:ascii="宋体" w:hAnsi="宋体"/>
                <w:szCs w:val="21"/>
              </w:rPr>
            </w:pPr>
            <w:r w:rsidRPr="00AF07D1">
              <w:rPr>
                <w:rFonts w:ascii="宋体" w:hAnsi="宋体" w:hint="eastAsia"/>
                <w:szCs w:val="21"/>
              </w:rPr>
              <w:t>其他费用</w:t>
            </w:r>
          </w:p>
        </w:tc>
      </w:tr>
      <w:tr w:rsidR="004C41FE" w:rsidRPr="00AF07D1" w:rsidTr="00527E11">
        <w:trPr>
          <w:trHeight w:val="365"/>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1260" w:type="dxa"/>
            <w:vAlign w:val="center"/>
          </w:tcPr>
          <w:p w:rsidR="004C41FE" w:rsidRPr="00AF07D1" w:rsidRDefault="004C41FE" w:rsidP="00527E11">
            <w:pPr>
              <w:spacing w:line="560" w:lineRule="exact"/>
              <w:rPr>
                <w:rFonts w:ascii="宋体" w:hAnsi="宋体"/>
                <w:szCs w:val="21"/>
              </w:rPr>
            </w:pPr>
          </w:p>
        </w:tc>
        <w:tc>
          <w:tcPr>
            <w:tcW w:w="1261" w:type="dxa"/>
            <w:gridSpan w:val="2"/>
            <w:vAlign w:val="center"/>
          </w:tcPr>
          <w:p w:rsidR="004C41FE" w:rsidRPr="00AF07D1" w:rsidRDefault="004C41FE" w:rsidP="00527E11">
            <w:pPr>
              <w:spacing w:line="560" w:lineRule="exact"/>
              <w:rPr>
                <w:rFonts w:ascii="宋体" w:hAnsi="宋体"/>
                <w:szCs w:val="21"/>
              </w:rPr>
            </w:pPr>
          </w:p>
        </w:tc>
        <w:tc>
          <w:tcPr>
            <w:tcW w:w="1262" w:type="dxa"/>
            <w:gridSpan w:val="3"/>
            <w:vAlign w:val="center"/>
          </w:tcPr>
          <w:p w:rsidR="004C41FE" w:rsidRPr="00AF07D1" w:rsidRDefault="004C41FE" w:rsidP="00527E11">
            <w:pPr>
              <w:spacing w:line="560" w:lineRule="exact"/>
              <w:rPr>
                <w:rFonts w:ascii="宋体" w:hAnsi="宋体"/>
                <w:szCs w:val="21"/>
              </w:rPr>
            </w:pPr>
          </w:p>
        </w:tc>
        <w:tc>
          <w:tcPr>
            <w:tcW w:w="1261" w:type="dxa"/>
            <w:gridSpan w:val="3"/>
            <w:vAlign w:val="center"/>
          </w:tcPr>
          <w:p w:rsidR="004C41FE" w:rsidRPr="00AF07D1" w:rsidRDefault="004C41FE" w:rsidP="00527E11">
            <w:pPr>
              <w:spacing w:line="560" w:lineRule="exact"/>
              <w:rPr>
                <w:rFonts w:ascii="宋体" w:hAnsi="宋体"/>
                <w:szCs w:val="21"/>
              </w:rPr>
            </w:pPr>
          </w:p>
        </w:tc>
        <w:tc>
          <w:tcPr>
            <w:tcW w:w="1260" w:type="dxa"/>
            <w:vAlign w:val="center"/>
          </w:tcPr>
          <w:p w:rsidR="004C41FE" w:rsidRPr="00AF07D1" w:rsidRDefault="004C41FE" w:rsidP="00527E11">
            <w:pPr>
              <w:spacing w:line="560" w:lineRule="exact"/>
              <w:rPr>
                <w:rFonts w:ascii="宋体" w:hAnsi="宋体"/>
                <w:szCs w:val="21"/>
              </w:rPr>
            </w:pPr>
          </w:p>
        </w:tc>
        <w:tc>
          <w:tcPr>
            <w:tcW w:w="1261" w:type="dxa"/>
            <w:vAlign w:val="center"/>
          </w:tcPr>
          <w:p w:rsidR="004C41FE" w:rsidRPr="00AF07D1" w:rsidRDefault="004C41FE" w:rsidP="00527E11">
            <w:pPr>
              <w:spacing w:line="560" w:lineRule="exact"/>
              <w:rPr>
                <w:rFonts w:ascii="宋体" w:hAnsi="宋体"/>
                <w:szCs w:val="21"/>
              </w:rPr>
            </w:pP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须事先报批的支出事项：</w:t>
            </w:r>
          </w:p>
        </w:tc>
      </w:tr>
      <w:tr w:rsidR="004C41FE" w:rsidRPr="00AF07D1" w:rsidTr="00527E11">
        <w:trPr>
          <w:trHeight w:val="326"/>
          <w:jc w:val="center"/>
        </w:trPr>
        <w:tc>
          <w:tcPr>
            <w:tcW w:w="1186" w:type="dxa"/>
            <w:vMerge/>
            <w:vAlign w:val="center"/>
          </w:tcPr>
          <w:p w:rsidR="004C41FE" w:rsidRPr="00AF07D1" w:rsidRDefault="004C41FE" w:rsidP="00527E11">
            <w:pPr>
              <w:spacing w:line="560" w:lineRule="exact"/>
              <w:jc w:val="center"/>
              <w:rPr>
                <w:rFonts w:ascii="宋体" w:hAnsi="宋体"/>
                <w:szCs w:val="21"/>
              </w:rPr>
            </w:pPr>
          </w:p>
        </w:tc>
        <w:tc>
          <w:tcPr>
            <w:tcW w:w="7563" w:type="dxa"/>
            <w:gridSpan w:val="11"/>
            <w:vAlign w:val="center"/>
          </w:tcPr>
          <w:p w:rsidR="004C41FE" w:rsidRPr="00AF07D1" w:rsidRDefault="004C41FE" w:rsidP="00527E11">
            <w:pPr>
              <w:spacing w:line="560" w:lineRule="exact"/>
              <w:rPr>
                <w:rFonts w:ascii="宋体" w:hAnsi="宋体"/>
                <w:szCs w:val="21"/>
              </w:rPr>
            </w:pPr>
            <w:r w:rsidRPr="00AF07D1">
              <w:rPr>
                <w:rFonts w:ascii="宋体" w:hAnsi="宋体" w:hint="eastAsia"/>
                <w:szCs w:val="21"/>
              </w:rPr>
              <w:t>其他事项：</w:t>
            </w:r>
          </w:p>
        </w:tc>
      </w:tr>
      <w:tr w:rsidR="004C41FE" w:rsidRPr="00AF07D1" w:rsidTr="00527E11">
        <w:trPr>
          <w:trHeight w:val="503"/>
          <w:jc w:val="center"/>
        </w:trPr>
        <w:tc>
          <w:tcPr>
            <w:tcW w:w="1186" w:type="dxa"/>
            <w:vAlign w:val="center"/>
          </w:tcPr>
          <w:p w:rsidR="004C41FE" w:rsidRPr="00AF07D1" w:rsidRDefault="004C41FE" w:rsidP="00527E11">
            <w:pPr>
              <w:spacing w:line="560" w:lineRule="exact"/>
              <w:ind w:leftChars="-50" w:left="-105" w:rightChars="-50" w:right="-105"/>
              <w:jc w:val="center"/>
              <w:rPr>
                <w:rFonts w:ascii="宋体" w:hAnsi="宋体"/>
                <w:szCs w:val="21"/>
              </w:rPr>
            </w:pPr>
            <w:r w:rsidRPr="00AF07D1">
              <w:rPr>
                <w:rFonts w:ascii="宋体" w:hAnsi="宋体" w:hint="eastAsia"/>
                <w:szCs w:val="21"/>
              </w:rPr>
              <w:t>审核意见</w:t>
            </w:r>
          </w:p>
        </w:tc>
        <w:tc>
          <w:tcPr>
            <w:tcW w:w="7563" w:type="dxa"/>
            <w:gridSpan w:val="11"/>
            <w:vAlign w:val="center"/>
          </w:tcPr>
          <w:p w:rsidR="004C41FE" w:rsidRPr="00AF07D1" w:rsidRDefault="004C41FE" w:rsidP="00527E11">
            <w:pPr>
              <w:spacing w:line="560" w:lineRule="exact"/>
              <w:rPr>
                <w:rFonts w:ascii="宋体" w:hAnsi="宋体"/>
                <w:szCs w:val="21"/>
              </w:rPr>
            </w:pPr>
          </w:p>
        </w:tc>
      </w:tr>
    </w:tbl>
    <w:p w:rsidR="004C41FE" w:rsidRPr="00E82CF5" w:rsidRDefault="004C41FE" w:rsidP="004C41FE"/>
    <w:p w:rsidR="00C22646" w:rsidRPr="00C22646" w:rsidRDefault="00C22646" w:rsidP="000E7740">
      <w:pPr>
        <w:widowControl/>
        <w:shd w:val="clear" w:color="auto" w:fill="FFFFFF"/>
        <w:spacing w:afterLines="100" w:line="560" w:lineRule="exact"/>
        <w:ind w:firstLineChars="200" w:firstLine="480"/>
        <w:jc w:val="left"/>
        <w:rPr>
          <w:rFonts w:ascii="宋体" w:eastAsia="宋体" w:hAnsi="宋体" w:cs="宋体"/>
          <w:color w:val="333333"/>
          <w:kern w:val="0"/>
          <w:sz w:val="24"/>
          <w:szCs w:val="24"/>
        </w:rPr>
      </w:pPr>
    </w:p>
    <w:p w:rsidR="007D23F7" w:rsidRDefault="007D23F7"/>
    <w:sectPr w:rsidR="007D23F7" w:rsidSect="007D2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CC" w:rsidRDefault="00E132CC" w:rsidP="000E7740">
      <w:r>
        <w:separator/>
      </w:r>
    </w:p>
  </w:endnote>
  <w:endnote w:type="continuationSeparator" w:id="0">
    <w:p w:rsidR="00E132CC" w:rsidRDefault="00E132CC" w:rsidP="000E7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CC" w:rsidRDefault="00E132CC" w:rsidP="000E7740">
      <w:r>
        <w:separator/>
      </w:r>
    </w:p>
  </w:footnote>
  <w:footnote w:type="continuationSeparator" w:id="0">
    <w:p w:rsidR="00E132CC" w:rsidRDefault="00E132CC" w:rsidP="000E7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2646"/>
    <w:rsid w:val="000021F3"/>
    <w:rsid w:val="00060023"/>
    <w:rsid w:val="00067F0A"/>
    <w:rsid w:val="00070FC8"/>
    <w:rsid w:val="00074AAF"/>
    <w:rsid w:val="000B6576"/>
    <w:rsid w:val="000C291F"/>
    <w:rsid w:val="000C2A51"/>
    <w:rsid w:val="000C3D6F"/>
    <w:rsid w:val="000D3452"/>
    <w:rsid w:val="000E4BB7"/>
    <w:rsid w:val="000E7617"/>
    <w:rsid w:val="000E7740"/>
    <w:rsid w:val="000F38DD"/>
    <w:rsid w:val="000F4B46"/>
    <w:rsid w:val="000F77DB"/>
    <w:rsid w:val="0012347F"/>
    <w:rsid w:val="00126F4B"/>
    <w:rsid w:val="001277AF"/>
    <w:rsid w:val="00131976"/>
    <w:rsid w:val="00132AB3"/>
    <w:rsid w:val="001367E7"/>
    <w:rsid w:val="0014370E"/>
    <w:rsid w:val="00156BA2"/>
    <w:rsid w:val="00175477"/>
    <w:rsid w:val="00175DA8"/>
    <w:rsid w:val="00191704"/>
    <w:rsid w:val="0019787A"/>
    <w:rsid w:val="001A2D5E"/>
    <w:rsid w:val="001A6D4D"/>
    <w:rsid w:val="001A6E5B"/>
    <w:rsid w:val="001E3CEE"/>
    <w:rsid w:val="001F12A9"/>
    <w:rsid w:val="001F5308"/>
    <w:rsid w:val="0020395B"/>
    <w:rsid w:val="00220977"/>
    <w:rsid w:val="00221706"/>
    <w:rsid w:val="0023496C"/>
    <w:rsid w:val="00237603"/>
    <w:rsid w:val="002558E9"/>
    <w:rsid w:val="00262504"/>
    <w:rsid w:val="00276A14"/>
    <w:rsid w:val="002811D6"/>
    <w:rsid w:val="002930CC"/>
    <w:rsid w:val="002A5D71"/>
    <w:rsid w:val="002B11A9"/>
    <w:rsid w:val="002D5E9B"/>
    <w:rsid w:val="002E13E7"/>
    <w:rsid w:val="002E45BD"/>
    <w:rsid w:val="002F087B"/>
    <w:rsid w:val="002F22E5"/>
    <w:rsid w:val="002F4A7C"/>
    <w:rsid w:val="0030793C"/>
    <w:rsid w:val="00312B3C"/>
    <w:rsid w:val="00321A76"/>
    <w:rsid w:val="003271CC"/>
    <w:rsid w:val="003341AC"/>
    <w:rsid w:val="00337B85"/>
    <w:rsid w:val="003418C7"/>
    <w:rsid w:val="00347981"/>
    <w:rsid w:val="003510C6"/>
    <w:rsid w:val="003518AF"/>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40655"/>
    <w:rsid w:val="0044446E"/>
    <w:rsid w:val="00447199"/>
    <w:rsid w:val="004510E9"/>
    <w:rsid w:val="00457055"/>
    <w:rsid w:val="004772F9"/>
    <w:rsid w:val="0049102B"/>
    <w:rsid w:val="004B072C"/>
    <w:rsid w:val="004B34D3"/>
    <w:rsid w:val="004B5C94"/>
    <w:rsid w:val="004C41FE"/>
    <w:rsid w:val="004D7520"/>
    <w:rsid w:val="004E3CEB"/>
    <w:rsid w:val="004F0D91"/>
    <w:rsid w:val="00516D6D"/>
    <w:rsid w:val="005300F2"/>
    <w:rsid w:val="005325FE"/>
    <w:rsid w:val="00537CEC"/>
    <w:rsid w:val="005565F6"/>
    <w:rsid w:val="005753EE"/>
    <w:rsid w:val="00592779"/>
    <w:rsid w:val="005B785E"/>
    <w:rsid w:val="005C296A"/>
    <w:rsid w:val="005D3540"/>
    <w:rsid w:val="00606801"/>
    <w:rsid w:val="006119AB"/>
    <w:rsid w:val="00613EDF"/>
    <w:rsid w:val="0062013C"/>
    <w:rsid w:val="006221F9"/>
    <w:rsid w:val="0063074D"/>
    <w:rsid w:val="00635C59"/>
    <w:rsid w:val="00651913"/>
    <w:rsid w:val="0066200D"/>
    <w:rsid w:val="0066473C"/>
    <w:rsid w:val="00680905"/>
    <w:rsid w:val="006A0E07"/>
    <w:rsid w:val="006A55AA"/>
    <w:rsid w:val="006B2032"/>
    <w:rsid w:val="006D6F60"/>
    <w:rsid w:val="006D6FC5"/>
    <w:rsid w:val="006D7DB9"/>
    <w:rsid w:val="006E4651"/>
    <w:rsid w:val="006E4E7B"/>
    <w:rsid w:val="006F5A1A"/>
    <w:rsid w:val="006F6873"/>
    <w:rsid w:val="00707BF5"/>
    <w:rsid w:val="00713B6D"/>
    <w:rsid w:val="00724048"/>
    <w:rsid w:val="00725224"/>
    <w:rsid w:val="007350F0"/>
    <w:rsid w:val="0074398D"/>
    <w:rsid w:val="007A5A0E"/>
    <w:rsid w:val="007B30F4"/>
    <w:rsid w:val="007C1D0F"/>
    <w:rsid w:val="007C411B"/>
    <w:rsid w:val="007D0FA6"/>
    <w:rsid w:val="007D23F7"/>
    <w:rsid w:val="007D2645"/>
    <w:rsid w:val="007F14FE"/>
    <w:rsid w:val="0080596F"/>
    <w:rsid w:val="00811AE0"/>
    <w:rsid w:val="00812535"/>
    <w:rsid w:val="008140D1"/>
    <w:rsid w:val="008150B3"/>
    <w:rsid w:val="0085156B"/>
    <w:rsid w:val="008701D5"/>
    <w:rsid w:val="00883E27"/>
    <w:rsid w:val="008B2C9D"/>
    <w:rsid w:val="008C7406"/>
    <w:rsid w:val="008D717C"/>
    <w:rsid w:val="008E4521"/>
    <w:rsid w:val="008E688B"/>
    <w:rsid w:val="008F09FF"/>
    <w:rsid w:val="00902592"/>
    <w:rsid w:val="00927555"/>
    <w:rsid w:val="00934843"/>
    <w:rsid w:val="00941A32"/>
    <w:rsid w:val="00951486"/>
    <w:rsid w:val="00971C8C"/>
    <w:rsid w:val="00973C0F"/>
    <w:rsid w:val="00986683"/>
    <w:rsid w:val="009871DD"/>
    <w:rsid w:val="009920B7"/>
    <w:rsid w:val="00995079"/>
    <w:rsid w:val="009A18C6"/>
    <w:rsid w:val="009C2328"/>
    <w:rsid w:val="009C241C"/>
    <w:rsid w:val="009C304C"/>
    <w:rsid w:val="009D3D51"/>
    <w:rsid w:val="009E1D69"/>
    <w:rsid w:val="009F09D0"/>
    <w:rsid w:val="009F44E5"/>
    <w:rsid w:val="00A11252"/>
    <w:rsid w:val="00A21C35"/>
    <w:rsid w:val="00A51A1A"/>
    <w:rsid w:val="00A57B6A"/>
    <w:rsid w:val="00A6241D"/>
    <w:rsid w:val="00A67619"/>
    <w:rsid w:val="00A75128"/>
    <w:rsid w:val="00A82758"/>
    <w:rsid w:val="00A96AA1"/>
    <w:rsid w:val="00AA06CA"/>
    <w:rsid w:val="00AB17AC"/>
    <w:rsid w:val="00AC3B93"/>
    <w:rsid w:val="00AD0701"/>
    <w:rsid w:val="00AE3A4A"/>
    <w:rsid w:val="00AE5D1B"/>
    <w:rsid w:val="00B03CE6"/>
    <w:rsid w:val="00B13A9C"/>
    <w:rsid w:val="00B30106"/>
    <w:rsid w:val="00B31A23"/>
    <w:rsid w:val="00B325E7"/>
    <w:rsid w:val="00B3515D"/>
    <w:rsid w:val="00B41FDE"/>
    <w:rsid w:val="00B503AD"/>
    <w:rsid w:val="00B64746"/>
    <w:rsid w:val="00B71AAC"/>
    <w:rsid w:val="00B7641F"/>
    <w:rsid w:val="00B76685"/>
    <w:rsid w:val="00B85837"/>
    <w:rsid w:val="00B90847"/>
    <w:rsid w:val="00B9532C"/>
    <w:rsid w:val="00B96C43"/>
    <w:rsid w:val="00B972FE"/>
    <w:rsid w:val="00BA35E2"/>
    <w:rsid w:val="00BB0F38"/>
    <w:rsid w:val="00BC10F3"/>
    <w:rsid w:val="00BD16B7"/>
    <w:rsid w:val="00BD26C9"/>
    <w:rsid w:val="00BE157D"/>
    <w:rsid w:val="00BE27C5"/>
    <w:rsid w:val="00BE2B15"/>
    <w:rsid w:val="00BE6265"/>
    <w:rsid w:val="00BF0027"/>
    <w:rsid w:val="00BF17B4"/>
    <w:rsid w:val="00BF186A"/>
    <w:rsid w:val="00BF7EC8"/>
    <w:rsid w:val="00C22646"/>
    <w:rsid w:val="00C24027"/>
    <w:rsid w:val="00C26B5E"/>
    <w:rsid w:val="00C41FDB"/>
    <w:rsid w:val="00C450E1"/>
    <w:rsid w:val="00C50D15"/>
    <w:rsid w:val="00C51BB5"/>
    <w:rsid w:val="00C801DE"/>
    <w:rsid w:val="00C87377"/>
    <w:rsid w:val="00C9488D"/>
    <w:rsid w:val="00CA1037"/>
    <w:rsid w:val="00CA768E"/>
    <w:rsid w:val="00CB3ACD"/>
    <w:rsid w:val="00CB5DA1"/>
    <w:rsid w:val="00CD421B"/>
    <w:rsid w:val="00CD498D"/>
    <w:rsid w:val="00CD53E3"/>
    <w:rsid w:val="00CD65CF"/>
    <w:rsid w:val="00CE2737"/>
    <w:rsid w:val="00D107CC"/>
    <w:rsid w:val="00D10A06"/>
    <w:rsid w:val="00D145C9"/>
    <w:rsid w:val="00D14F67"/>
    <w:rsid w:val="00D1601D"/>
    <w:rsid w:val="00D22106"/>
    <w:rsid w:val="00D2590C"/>
    <w:rsid w:val="00D267F8"/>
    <w:rsid w:val="00D34CE2"/>
    <w:rsid w:val="00D42FD8"/>
    <w:rsid w:val="00D629B1"/>
    <w:rsid w:val="00D6516F"/>
    <w:rsid w:val="00D8075E"/>
    <w:rsid w:val="00D92B91"/>
    <w:rsid w:val="00DB4BCF"/>
    <w:rsid w:val="00DD5EAB"/>
    <w:rsid w:val="00DE29B1"/>
    <w:rsid w:val="00DE4156"/>
    <w:rsid w:val="00DE5B8A"/>
    <w:rsid w:val="00DE6BB8"/>
    <w:rsid w:val="00E132CC"/>
    <w:rsid w:val="00E17794"/>
    <w:rsid w:val="00E27B2D"/>
    <w:rsid w:val="00E32297"/>
    <w:rsid w:val="00E502DF"/>
    <w:rsid w:val="00E66589"/>
    <w:rsid w:val="00E7031F"/>
    <w:rsid w:val="00E87751"/>
    <w:rsid w:val="00EA1F79"/>
    <w:rsid w:val="00EB2581"/>
    <w:rsid w:val="00EB44CF"/>
    <w:rsid w:val="00EC151A"/>
    <w:rsid w:val="00EE07EA"/>
    <w:rsid w:val="00EE7A9F"/>
    <w:rsid w:val="00F015F2"/>
    <w:rsid w:val="00F11679"/>
    <w:rsid w:val="00F1654F"/>
    <w:rsid w:val="00F21606"/>
    <w:rsid w:val="00F62CCB"/>
    <w:rsid w:val="00F74429"/>
    <w:rsid w:val="00F76661"/>
    <w:rsid w:val="00F93203"/>
    <w:rsid w:val="00FA2662"/>
    <w:rsid w:val="00FC3892"/>
    <w:rsid w:val="00FD44D1"/>
    <w:rsid w:val="00FF61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F7"/>
    <w:pPr>
      <w:widowControl w:val="0"/>
      <w:jc w:val="both"/>
    </w:pPr>
  </w:style>
  <w:style w:type="paragraph" w:styleId="1">
    <w:name w:val="heading 1"/>
    <w:basedOn w:val="a"/>
    <w:next w:val="a"/>
    <w:link w:val="1Char"/>
    <w:qFormat/>
    <w:rsid w:val="000E7740"/>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2646"/>
    <w:rPr>
      <w:strike w:val="0"/>
      <w:dstrike w:val="0"/>
      <w:color w:val="000000"/>
      <w:u w:val="none"/>
      <w:effect w:val="none"/>
    </w:rPr>
  </w:style>
  <w:style w:type="paragraph" w:styleId="a4">
    <w:name w:val="header"/>
    <w:basedOn w:val="a"/>
    <w:link w:val="Char"/>
    <w:unhideWhenUsed/>
    <w:rsid w:val="000E7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E7740"/>
    <w:rPr>
      <w:sz w:val="18"/>
      <w:szCs w:val="18"/>
    </w:rPr>
  </w:style>
  <w:style w:type="paragraph" w:styleId="a5">
    <w:name w:val="footer"/>
    <w:basedOn w:val="a"/>
    <w:link w:val="Char0"/>
    <w:uiPriority w:val="99"/>
    <w:unhideWhenUsed/>
    <w:rsid w:val="000E7740"/>
    <w:pPr>
      <w:tabs>
        <w:tab w:val="center" w:pos="4153"/>
        <w:tab w:val="right" w:pos="8306"/>
      </w:tabs>
      <w:snapToGrid w:val="0"/>
      <w:jc w:val="left"/>
    </w:pPr>
    <w:rPr>
      <w:sz w:val="18"/>
      <w:szCs w:val="18"/>
    </w:rPr>
  </w:style>
  <w:style w:type="character" w:customStyle="1" w:styleId="Char0">
    <w:name w:val="页脚 Char"/>
    <w:basedOn w:val="a0"/>
    <w:link w:val="a5"/>
    <w:uiPriority w:val="99"/>
    <w:rsid w:val="000E7740"/>
    <w:rPr>
      <w:sz w:val="18"/>
      <w:szCs w:val="18"/>
    </w:rPr>
  </w:style>
  <w:style w:type="character" w:customStyle="1" w:styleId="1Char">
    <w:name w:val="标题 1 Char"/>
    <w:basedOn w:val="a0"/>
    <w:link w:val="1"/>
    <w:rsid w:val="000E7740"/>
    <w:rPr>
      <w:rFonts w:ascii="Times New Roman" w:eastAsia="宋体" w:hAnsi="Times New Roman" w:cs="Times New Roman"/>
      <w:b/>
      <w:bCs/>
      <w:kern w:val="44"/>
      <w:sz w:val="44"/>
      <w:szCs w:val="44"/>
    </w:rPr>
  </w:style>
  <w:style w:type="paragraph" w:styleId="a6">
    <w:name w:val="Balloon Text"/>
    <w:basedOn w:val="a"/>
    <w:link w:val="Char1"/>
    <w:semiHidden/>
    <w:unhideWhenUsed/>
    <w:rsid w:val="000E7740"/>
    <w:rPr>
      <w:rFonts w:ascii="Times New Roman" w:eastAsia="宋体" w:hAnsi="Times New Roman" w:cs="Times New Roman"/>
      <w:sz w:val="18"/>
      <w:szCs w:val="18"/>
    </w:rPr>
  </w:style>
  <w:style w:type="character" w:customStyle="1" w:styleId="Char1">
    <w:name w:val="批注框文本 Char"/>
    <w:basedOn w:val="a0"/>
    <w:link w:val="a6"/>
    <w:semiHidden/>
    <w:rsid w:val="000E7740"/>
    <w:rPr>
      <w:rFonts w:ascii="Times New Roman" w:eastAsia="宋体" w:hAnsi="Times New Roman" w:cs="Times New Roman"/>
      <w:sz w:val="18"/>
      <w:szCs w:val="18"/>
    </w:rPr>
  </w:style>
  <w:style w:type="paragraph" w:styleId="a7">
    <w:name w:val="Normal (Web)"/>
    <w:basedOn w:val="a"/>
    <w:unhideWhenUsed/>
    <w:rsid w:val="000E774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E7740"/>
  </w:style>
  <w:style w:type="character" w:styleId="a8">
    <w:name w:val="Strong"/>
    <w:basedOn w:val="a0"/>
    <w:uiPriority w:val="22"/>
    <w:qFormat/>
    <w:rsid w:val="000E7740"/>
    <w:rPr>
      <w:b/>
      <w:bCs/>
    </w:rPr>
  </w:style>
  <w:style w:type="paragraph" w:styleId="a9">
    <w:name w:val="List Paragraph"/>
    <w:basedOn w:val="a"/>
    <w:uiPriority w:val="34"/>
    <w:qFormat/>
    <w:rsid w:val="000E7740"/>
    <w:pPr>
      <w:ind w:firstLineChars="200" w:firstLine="420"/>
    </w:pPr>
    <w:rPr>
      <w:rFonts w:ascii="Calibri" w:eastAsia="宋体" w:hAnsi="Calibri" w:cs="Times New Roman"/>
    </w:rPr>
  </w:style>
  <w:style w:type="paragraph" w:styleId="aa">
    <w:name w:val="Date"/>
    <w:basedOn w:val="a"/>
    <w:next w:val="a"/>
    <w:link w:val="Char2"/>
    <w:uiPriority w:val="99"/>
    <w:semiHidden/>
    <w:unhideWhenUsed/>
    <w:rsid w:val="000E7740"/>
    <w:pPr>
      <w:ind w:leftChars="2500" w:left="100"/>
    </w:pPr>
    <w:rPr>
      <w:rFonts w:ascii="Calibri" w:eastAsia="宋体" w:hAnsi="Calibri" w:cs="Times New Roman"/>
    </w:rPr>
  </w:style>
  <w:style w:type="character" w:customStyle="1" w:styleId="Char2">
    <w:name w:val="日期 Char"/>
    <w:basedOn w:val="a0"/>
    <w:link w:val="aa"/>
    <w:uiPriority w:val="99"/>
    <w:semiHidden/>
    <w:rsid w:val="000E7740"/>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569775314">
      <w:bodyDiv w:val="1"/>
      <w:marLeft w:val="0"/>
      <w:marRight w:val="0"/>
      <w:marTop w:val="0"/>
      <w:marBottom w:val="0"/>
      <w:divBdr>
        <w:top w:val="none" w:sz="0" w:space="0" w:color="auto"/>
        <w:left w:val="none" w:sz="0" w:space="0" w:color="auto"/>
        <w:bottom w:val="none" w:sz="0" w:space="0" w:color="auto"/>
        <w:right w:val="none" w:sz="0" w:space="0" w:color="auto"/>
      </w:divBdr>
      <w:divsChild>
        <w:div w:id="2128306594">
          <w:marLeft w:val="0"/>
          <w:marRight w:val="0"/>
          <w:marTop w:val="0"/>
          <w:marBottom w:val="0"/>
          <w:divBdr>
            <w:top w:val="single" w:sz="6" w:space="0" w:color="E9E9E9"/>
            <w:left w:val="single" w:sz="6" w:space="0" w:color="E9E9E9"/>
            <w:bottom w:val="single" w:sz="6" w:space="0" w:color="E9E9E9"/>
            <w:right w:val="single" w:sz="6" w:space="0" w:color="E9E9E9"/>
          </w:divBdr>
          <w:divsChild>
            <w:div w:id="14652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4691">
      <w:bodyDiv w:val="1"/>
      <w:marLeft w:val="0"/>
      <w:marRight w:val="0"/>
      <w:marTop w:val="0"/>
      <w:marBottom w:val="0"/>
      <w:divBdr>
        <w:top w:val="none" w:sz="0" w:space="0" w:color="auto"/>
        <w:left w:val="none" w:sz="0" w:space="0" w:color="auto"/>
        <w:bottom w:val="none" w:sz="0" w:space="0" w:color="auto"/>
        <w:right w:val="none" w:sz="0" w:space="0" w:color="auto"/>
      </w:divBdr>
      <w:divsChild>
        <w:div w:id="1370299824">
          <w:marLeft w:val="0"/>
          <w:marRight w:val="0"/>
          <w:marTop w:val="0"/>
          <w:marBottom w:val="0"/>
          <w:divBdr>
            <w:top w:val="single" w:sz="6" w:space="0" w:color="E9E9E9"/>
            <w:left w:val="single" w:sz="6" w:space="0" w:color="E9E9E9"/>
            <w:bottom w:val="single" w:sz="6" w:space="0" w:color="E9E9E9"/>
            <w:right w:val="single" w:sz="6" w:space="0" w:color="E9E9E9"/>
          </w:divBdr>
          <w:divsChild>
            <w:div w:id="7734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safety.gov.cn/newpage/Contents/Channel_22245/2017/0223/283970/files_founder_32618498/234992461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safety.gov.cn/newpage/Contents/Channel_22245/2017/0223/283970/files_founder_32618498/62830434.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张仙锋</cp:lastModifiedBy>
  <cp:revision>3</cp:revision>
  <dcterms:created xsi:type="dcterms:W3CDTF">2018-01-23T14:33:00Z</dcterms:created>
  <dcterms:modified xsi:type="dcterms:W3CDTF">2018-01-23T15:36:00Z</dcterms:modified>
</cp:coreProperties>
</file>