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F7" w:rsidRDefault="00AD4D13">
      <w:pPr>
        <w:rPr>
          <w:rFonts w:ascii="Arial" w:hAnsi="Arial" w:cs="Arial" w:hint="eastAsia"/>
          <w:lang/>
        </w:rPr>
      </w:pPr>
      <w:r>
        <w:rPr>
          <w:rFonts w:ascii="Arial" w:hAnsi="Arial" w:cs="Arial"/>
          <w:lang/>
        </w:rPr>
        <w:t>《关于国家自然科学基金资助项目资金管理有关问题的补充通知》（财科教〔</w:t>
      </w:r>
      <w:r>
        <w:rPr>
          <w:rFonts w:ascii="Arial" w:hAnsi="Arial" w:cs="Arial"/>
          <w:lang/>
        </w:rPr>
        <w:t>2016</w:t>
      </w:r>
      <w:r>
        <w:rPr>
          <w:rFonts w:ascii="Arial" w:hAnsi="Arial" w:cs="Arial"/>
          <w:lang/>
        </w:rPr>
        <w:t>〕</w:t>
      </w:r>
      <w:r>
        <w:rPr>
          <w:rFonts w:ascii="Arial" w:hAnsi="Arial" w:cs="Arial"/>
          <w:lang/>
        </w:rPr>
        <w:t>19</w:t>
      </w:r>
      <w:r>
        <w:rPr>
          <w:rFonts w:ascii="Arial" w:hAnsi="Arial" w:cs="Arial"/>
          <w:lang/>
        </w:rPr>
        <w:t>号）</w:t>
      </w:r>
    </w:p>
    <w:p w:rsidR="00AD4D13" w:rsidRPr="00AD4D13" w:rsidRDefault="00AD4D13" w:rsidP="00AD4D13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有关单位：</w:t>
      </w:r>
    </w:p>
    <w:p w:rsidR="00AD4D13" w:rsidRPr="00AD4D13" w:rsidRDefault="00AD4D13" w:rsidP="00AD4D13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为了贯彻落实《中共中央办公厅</w:t>
      </w:r>
      <w:r w:rsidRPr="00AD4D13">
        <w:rPr>
          <w:rFonts w:ascii="宋体" w:eastAsia="宋体" w:hAnsi="宋体" w:cs="宋体"/>
          <w:kern w:val="0"/>
          <w:sz w:val="28"/>
          <w:szCs w:val="28"/>
          <w:lang/>
        </w:rPr>
        <w:t xml:space="preserve"> </w:t>
      </w: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国务院办公厅印发</w:t>
      </w:r>
      <w:r w:rsidRPr="00AD4D13">
        <w:rPr>
          <w:rFonts w:ascii="宋体" w:eastAsia="宋体" w:hAnsi="宋体" w:cs="宋体"/>
          <w:kern w:val="0"/>
          <w:sz w:val="28"/>
          <w:szCs w:val="28"/>
        </w:rPr>
        <w:t>&lt;</w:t>
      </w: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关于进一步完善中央财政科研项目资金管理等政策的若干意见</w:t>
      </w:r>
      <w:r w:rsidRPr="00AD4D13">
        <w:rPr>
          <w:rFonts w:ascii="宋体" w:eastAsia="宋体" w:hAnsi="宋体" w:cs="宋体"/>
          <w:kern w:val="0"/>
          <w:sz w:val="28"/>
          <w:szCs w:val="28"/>
        </w:rPr>
        <w:t>&gt;</w:t>
      </w: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的通知》精神，现就《国家自然科学基金资助项目资金管理办法》（财教﹝</w:t>
      </w:r>
      <w:r w:rsidRPr="00AD4D13">
        <w:rPr>
          <w:rFonts w:ascii="宋体" w:eastAsia="宋体" w:hAnsi="宋体" w:cs="宋体"/>
          <w:kern w:val="0"/>
          <w:sz w:val="28"/>
          <w:szCs w:val="28"/>
        </w:rPr>
        <w:t>2015</w:t>
      </w: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﹞</w:t>
      </w:r>
      <w:r w:rsidRPr="00AD4D13">
        <w:rPr>
          <w:rFonts w:ascii="宋体" w:eastAsia="宋体" w:hAnsi="宋体" w:cs="宋体"/>
          <w:kern w:val="0"/>
          <w:sz w:val="28"/>
          <w:szCs w:val="28"/>
        </w:rPr>
        <w:t>15</w:t>
      </w: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号）有关问题补充通知如下：</w:t>
      </w:r>
    </w:p>
    <w:p w:rsidR="00AD4D13" w:rsidRPr="00AD4D13" w:rsidRDefault="00AD4D13" w:rsidP="00AD4D13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一、合并差旅费、会议费、国际合作与交流费三个科目为差旅</w:t>
      </w:r>
      <w:r w:rsidRPr="00AD4D13">
        <w:rPr>
          <w:rFonts w:ascii="宋体" w:eastAsia="宋体" w:hAnsi="宋体" w:cs="宋体"/>
          <w:kern w:val="0"/>
          <w:sz w:val="28"/>
          <w:szCs w:val="28"/>
        </w:rPr>
        <w:t>/</w:t>
      </w: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会议</w:t>
      </w:r>
      <w:r w:rsidRPr="00AD4D13">
        <w:rPr>
          <w:rFonts w:ascii="宋体" w:eastAsia="宋体" w:hAnsi="宋体" w:cs="宋体"/>
          <w:kern w:val="0"/>
          <w:sz w:val="28"/>
          <w:szCs w:val="28"/>
        </w:rPr>
        <w:t>/</w:t>
      </w: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国际合作与交流费一个科目，由科研人员结合科研活动实际需要编制预算并按规定统筹安排使用，其中不超过直接费用</w:t>
      </w:r>
      <w:r w:rsidRPr="00AD4D13">
        <w:rPr>
          <w:rFonts w:ascii="宋体" w:eastAsia="宋体" w:hAnsi="宋体" w:cs="宋体"/>
          <w:kern w:val="0"/>
          <w:sz w:val="28"/>
          <w:szCs w:val="28"/>
        </w:rPr>
        <w:t>10%</w:t>
      </w: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的，不需要提供预算测算依据。</w:t>
      </w:r>
    </w:p>
    <w:p w:rsidR="00AD4D13" w:rsidRPr="00AD4D13" w:rsidRDefault="00AD4D13" w:rsidP="00AD4D13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二、参与项目研究的研究生、博士后、访问学者以及项目聘用的研究人员、科研辅助人员等，均可开支劳务费。项目聘用人员的劳务费开支标准，参照当地科学研究和技术服务业从业人员平均工资水平，根据其在项目研究中承担的工作任务确定，其社会保险补助纳入劳务费科目列支。</w:t>
      </w:r>
    </w:p>
    <w:p w:rsidR="00AD4D13" w:rsidRPr="00AD4D13" w:rsidRDefault="00AD4D13" w:rsidP="00AD4D13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三、间接费用核定比例上限调整为：</w:t>
      </w:r>
      <w:r w:rsidRPr="00AD4D13">
        <w:rPr>
          <w:rFonts w:ascii="宋体" w:eastAsia="宋体" w:hAnsi="宋体" w:cs="宋体"/>
          <w:kern w:val="0"/>
          <w:sz w:val="28"/>
          <w:szCs w:val="28"/>
        </w:rPr>
        <w:t>500</w:t>
      </w: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万元以下的部分为</w:t>
      </w:r>
      <w:r w:rsidRPr="00AD4D13">
        <w:rPr>
          <w:rFonts w:ascii="宋体" w:eastAsia="宋体" w:hAnsi="宋体" w:cs="宋体"/>
          <w:kern w:val="0"/>
          <w:sz w:val="28"/>
          <w:szCs w:val="28"/>
        </w:rPr>
        <w:t>20%</w:t>
      </w: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，</w:t>
      </w:r>
      <w:r w:rsidRPr="00AD4D13">
        <w:rPr>
          <w:rFonts w:ascii="宋体" w:eastAsia="宋体" w:hAnsi="宋体" w:cs="宋体"/>
          <w:kern w:val="0"/>
          <w:sz w:val="28"/>
          <w:szCs w:val="28"/>
        </w:rPr>
        <w:t>500</w:t>
      </w: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万元至</w:t>
      </w:r>
      <w:r w:rsidRPr="00AD4D13">
        <w:rPr>
          <w:rFonts w:ascii="宋体" w:eastAsia="宋体" w:hAnsi="宋体" w:cs="宋体"/>
          <w:kern w:val="0"/>
          <w:sz w:val="28"/>
          <w:szCs w:val="28"/>
        </w:rPr>
        <w:t>1000</w:t>
      </w: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万元的部分为</w:t>
      </w:r>
      <w:r w:rsidRPr="00AD4D13">
        <w:rPr>
          <w:rFonts w:ascii="宋体" w:eastAsia="宋体" w:hAnsi="宋体" w:cs="宋体"/>
          <w:kern w:val="0"/>
          <w:sz w:val="28"/>
          <w:szCs w:val="28"/>
        </w:rPr>
        <w:t>15%</w:t>
      </w: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，</w:t>
      </w:r>
      <w:r w:rsidRPr="00AD4D13">
        <w:rPr>
          <w:rFonts w:ascii="宋体" w:eastAsia="宋体" w:hAnsi="宋体" w:cs="宋体"/>
          <w:kern w:val="0"/>
          <w:sz w:val="28"/>
          <w:szCs w:val="28"/>
        </w:rPr>
        <w:t>1000</w:t>
      </w: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万元以上的部分为</w:t>
      </w:r>
      <w:r w:rsidRPr="00AD4D13">
        <w:rPr>
          <w:rFonts w:ascii="宋体" w:eastAsia="宋体" w:hAnsi="宋体" w:cs="宋体"/>
          <w:kern w:val="0"/>
          <w:sz w:val="28"/>
          <w:szCs w:val="28"/>
        </w:rPr>
        <w:t>13%</w:t>
      </w: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。加大对科研人员的激励力度，取消绩效支出比例限制。依托单位在统筹安排间接费用时，要处理好合理分摊间接成本和对科研人员激励的关系，绩效支出安排与科研人员在项目工作中的实际贡献挂钩。</w:t>
      </w:r>
    </w:p>
    <w:p w:rsidR="00AD4D13" w:rsidRPr="00AD4D13" w:rsidRDefault="00AD4D13" w:rsidP="00AD4D13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lastRenderedPageBreak/>
        <w:t>四、依托单位要创新服务方式，让科研人员潜心从事科学研究。要建立健全科研财务助理制度，为科研人员在项目预算编制和调剂、经费支出、财务决算和验收等方面提供专业化服务。要充分利用信息化手段，建立健全单位内部科研、财务部门和项目负责人共享的信息平台，提高科研管理效率和便利化程度。要制定符合科研实际需要的内部报销规定，切实解决野外考察、心理测试等科研活动中无法取得发票或财政性票据，以及邀请外国专家来华参加学术交流发生费用等的报销问题。</w:t>
      </w:r>
    </w:p>
    <w:p w:rsidR="00AD4D13" w:rsidRPr="00AD4D13" w:rsidRDefault="00AD4D13" w:rsidP="00AD4D13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五、依托单位要切实强化法人责任，规范项目资金管理。要制定内部管理办法，落实项目预算调剂、间接费用统筹使用、劳务费分配管理、结余资金使用等管理权限。要加强预算审核把关，规范财务支出行为，完善内部风险防控机制，强化资金使用绩效评价，保障资金使用安全规范有效。</w:t>
      </w:r>
    </w:p>
    <w:p w:rsidR="00AD4D13" w:rsidRPr="00AD4D13" w:rsidRDefault="00AD4D13" w:rsidP="00AD4D13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六、财政部、项目主管部门及其相关工作人员在国家自然科学基金预算审核环节，项目主管部门及其相关工作人员在项目立项及其资金分配等环节，存在违反规定安排资金以及其他滥用职权、玩忽职守、徇私舞弊等违法违纪行为的，按照《中华人民共和国预算法》、《中华人民共和国公务员法》、《中华人民共和国行政监察法》、《财政违法行为处罚处分条例》等国家有关规定追究相应责任；涉嫌犯罪的，移送司法机关处理。</w:t>
      </w:r>
    </w:p>
    <w:p w:rsidR="00AD4D13" w:rsidRPr="00AD4D13" w:rsidRDefault="00AD4D13" w:rsidP="00AD4D13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财政部</w:t>
      </w:r>
      <w:r w:rsidRPr="00AD4D13">
        <w:rPr>
          <w:rFonts w:ascii="宋体" w:eastAsia="宋体" w:hAnsi="宋体" w:cs="宋体"/>
          <w:kern w:val="0"/>
          <w:sz w:val="28"/>
          <w:szCs w:val="28"/>
          <w:lang/>
        </w:rPr>
        <w:t xml:space="preserve"> </w:t>
      </w:r>
      <w:r w:rsidRPr="00AD4D13">
        <w:rPr>
          <w:rFonts w:ascii="宋体" w:eastAsia="宋体" w:hAnsi="宋体" w:cs="宋体" w:hint="eastAsia"/>
          <w:kern w:val="0"/>
          <w:sz w:val="28"/>
          <w:szCs w:val="28"/>
          <w:lang/>
        </w:rPr>
        <w:t>国家自然科学基金委员会</w:t>
      </w:r>
    </w:p>
    <w:p w:rsidR="00AD4D13" w:rsidRDefault="00AD4D13" w:rsidP="00AD4D13">
      <w:r w:rsidRPr="00AD4D13">
        <w:rPr>
          <w:rFonts w:ascii="Calibri" w:eastAsia="宋体" w:hAnsi="Calibri" w:cs="Arial"/>
          <w:kern w:val="0"/>
          <w:sz w:val="28"/>
          <w:szCs w:val="28"/>
        </w:rPr>
        <w:lastRenderedPageBreak/>
        <w:t>2016</w:t>
      </w:r>
      <w:r w:rsidRPr="00AD4D13">
        <w:rPr>
          <w:rFonts w:ascii="宋体" w:eastAsia="宋体" w:hAnsi="宋体" w:cs="Arial" w:hint="eastAsia"/>
          <w:kern w:val="0"/>
          <w:sz w:val="28"/>
          <w:szCs w:val="28"/>
          <w:lang/>
        </w:rPr>
        <w:t>年</w:t>
      </w:r>
      <w:r w:rsidRPr="00AD4D13">
        <w:rPr>
          <w:rFonts w:ascii="Calibri" w:eastAsia="宋体" w:hAnsi="Calibri" w:cs="Arial"/>
          <w:kern w:val="0"/>
          <w:sz w:val="28"/>
          <w:szCs w:val="28"/>
        </w:rPr>
        <w:t>12</w:t>
      </w:r>
      <w:r w:rsidRPr="00AD4D13">
        <w:rPr>
          <w:rFonts w:ascii="宋体" w:eastAsia="宋体" w:hAnsi="宋体" w:cs="Arial" w:hint="eastAsia"/>
          <w:kern w:val="0"/>
          <w:sz w:val="28"/>
          <w:szCs w:val="28"/>
          <w:lang/>
        </w:rPr>
        <w:t>月</w:t>
      </w:r>
      <w:r w:rsidRPr="00AD4D13">
        <w:rPr>
          <w:rFonts w:ascii="Calibri" w:eastAsia="宋体" w:hAnsi="Calibri" w:cs="Arial"/>
          <w:kern w:val="0"/>
          <w:sz w:val="28"/>
          <w:szCs w:val="28"/>
        </w:rPr>
        <w:t>5</w:t>
      </w:r>
      <w:r w:rsidRPr="00AD4D13">
        <w:rPr>
          <w:rFonts w:ascii="宋体" w:eastAsia="宋体" w:hAnsi="宋体" w:cs="Arial" w:hint="eastAsia"/>
          <w:kern w:val="0"/>
          <w:sz w:val="28"/>
          <w:szCs w:val="28"/>
          <w:lang/>
        </w:rPr>
        <w:t>日</w:t>
      </w:r>
    </w:p>
    <w:sectPr w:rsidR="00AD4D13" w:rsidSect="007D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4D13"/>
    <w:rsid w:val="000021F3"/>
    <w:rsid w:val="0012347F"/>
    <w:rsid w:val="001277AF"/>
    <w:rsid w:val="001367E7"/>
    <w:rsid w:val="003271CC"/>
    <w:rsid w:val="003E058C"/>
    <w:rsid w:val="00680905"/>
    <w:rsid w:val="007B30F4"/>
    <w:rsid w:val="007D23F7"/>
    <w:rsid w:val="00AD4D13"/>
    <w:rsid w:val="00D267F8"/>
    <w:rsid w:val="00DB4BCF"/>
    <w:rsid w:val="00EB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91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2017-10-31T14:55:00Z</dcterms:created>
  <dcterms:modified xsi:type="dcterms:W3CDTF">2017-10-31T14:56:00Z</dcterms:modified>
</cp:coreProperties>
</file>