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027FAB" w:rsidRDefault="00027FAB">
      <w:pPr>
        <w:spacing w:line="560" w:lineRule="exact"/>
        <w:rPr>
          <w:rFonts w:ascii="仿宋_GB2312" w:eastAsia="仿宋_GB2312" w:hAnsi="仿宋_GB2312" w:cs="仿宋_GB2312"/>
          <w:spacing w:val="-2"/>
          <w:sz w:val="32"/>
          <w:szCs w:val="32"/>
          <w:lang w:val="en"/>
        </w:rPr>
      </w:pPr>
      <w:bookmarkStart w:id="0" w:name="_GoBack"/>
      <w:bookmarkEnd w:id="0"/>
    </w:p>
    <w:p w:rsidR="00027FAB" w:rsidRDefault="00027FAB">
      <w:pPr>
        <w:spacing w:line="560" w:lineRule="exact"/>
        <w:rPr>
          <w:rFonts w:ascii="仿宋_GB2312" w:eastAsia="仿宋_GB2312" w:hAnsi="Arial" w:cs="Arial"/>
          <w:color w:val="000000"/>
          <w:kern w:val="0"/>
          <w:sz w:val="30"/>
          <w:szCs w:val="30"/>
          <w:lang w:val="en"/>
        </w:rPr>
      </w:pPr>
    </w:p>
    <w:p w:rsidR="00027FAB" w:rsidRDefault="0005738E">
      <w:pPr>
        <w:pStyle w:val="a5"/>
        <w:autoSpaceDE w:val="0"/>
        <w:autoSpaceDN w:val="0"/>
        <w:adjustRightInd w:val="0"/>
        <w:snapToGrid w:val="0"/>
        <w:spacing w:line="588" w:lineRule="atLeast"/>
        <w:jc w:val="center"/>
        <w:rPr>
          <w:rFonts w:ascii="方正小标宋简体" w:eastAsia="方正小标宋简体" w:hAnsi="方正小标宋简体" w:cs="方正小标宋简体"/>
          <w:spacing w:val="-2"/>
          <w:sz w:val="44"/>
          <w:szCs w:val="44"/>
        </w:rPr>
      </w:pPr>
      <w:r>
        <w:rPr>
          <w:rFonts w:ascii="方正小标宋简体" w:eastAsia="方正小标宋简体" w:hAnsi="方正小标宋简体" w:cs="方正小标宋简体" w:hint="eastAsia"/>
          <w:spacing w:val="-2"/>
          <w:sz w:val="44"/>
          <w:szCs w:val="44"/>
        </w:rPr>
        <w:t>国家自然科学基金资助项目资金管理办法</w:t>
      </w:r>
    </w:p>
    <w:p w:rsidR="00027FAB" w:rsidRDefault="00027FAB">
      <w:pPr>
        <w:spacing w:line="560" w:lineRule="exact"/>
        <w:jc w:val="center"/>
        <w:rPr>
          <w:rFonts w:ascii="仿宋_GB2312" w:eastAsia="仿宋_GB2312" w:hAnsi="Arial" w:cs="Arial"/>
          <w:color w:val="000000"/>
          <w:kern w:val="0"/>
          <w:sz w:val="30"/>
          <w:szCs w:val="30"/>
        </w:rPr>
      </w:pPr>
    </w:p>
    <w:p w:rsidR="00027FAB" w:rsidRDefault="0005738E">
      <w:pPr>
        <w:widowControl/>
        <w:numPr>
          <w:ilvl w:val="255"/>
          <w:numId w:val="0"/>
        </w:numPr>
        <w:spacing w:afterLines="50" w:after="156" w:line="560" w:lineRule="exact"/>
        <w:jc w:val="center"/>
        <w:rPr>
          <w:rFonts w:ascii="黑体" w:eastAsia="黑体" w:hAnsi="Arial" w:cs="Arial"/>
          <w:color w:val="000000"/>
          <w:kern w:val="0"/>
          <w:sz w:val="32"/>
          <w:szCs w:val="32"/>
        </w:rPr>
      </w:pPr>
      <w:r>
        <w:rPr>
          <w:rFonts w:ascii="黑体" w:eastAsia="黑体" w:hAnsi="Arial" w:cs="Arial" w:hint="eastAsia"/>
          <w:color w:val="000000"/>
          <w:kern w:val="0"/>
          <w:sz w:val="32"/>
          <w:szCs w:val="32"/>
        </w:rPr>
        <w:t>第一章</w:t>
      </w:r>
      <w:r>
        <w:rPr>
          <w:rFonts w:ascii="黑体" w:eastAsia="黑体" w:hAnsi="Arial" w:cs="Arial" w:hint="eastAsia"/>
          <w:color w:val="000000"/>
          <w:kern w:val="0"/>
          <w:sz w:val="32"/>
          <w:szCs w:val="32"/>
        </w:rPr>
        <w:t xml:space="preserve">  </w:t>
      </w:r>
      <w:r>
        <w:rPr>
          <w:rFonts w:ascii="黑体" w:eastAsia="黑体" w:hAnsi="Arial" w:cs="Arial" w:hint="eastAsia"/>
          <w:color w:val="000000"/>
          <w:kern w:val="0"/>
          <w:sz w:val="32"/>
          <w:szCs w:val="32"/>
        </w:rPr>
        <w:t>总</w:t>
      </w:r>
      <w:r>
        <w:rPr>
          <w:rFonts w:ascii="黑体" w:eastAsia="黑体" w:hAnsi="Arial" w:cs="Arial" w:hint="eastAsia"/>
          <w:color w:val="000000"/>
          <w:kern w:val="0"/>
          <w:sz w:val="32"/>
          <w:szCs w:val="32"/>
        </w:rPr>
        <w:t xml:space="preserve"> </w:t>
      </w:r>
      <w:r>
        <w:rPr>
          <w:rFonts w:ascii="黑体" w:eastAsia="黑体" w:hAnsi="Arial" w:cs="Arial" w:hint="eastAsia"/>
          <w:color w:val="000000"/>
          <w:kern w:val="0"/>
          <w:sz w:val="32"/>
          <w:szCs w:val="32"/>
        </w:rPr>
        <w:t>则</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lang w:val="en"/>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lang w:val="en"/>
        </w:rPr>
        <w:t>第一条</w:t>
      </w:r>
      <w:r>
        <w:rPr>
          <w:rFonts w:ascii="仿宋_GB2312" w:eastAsia="仿宋_GB2312" w:hAnsi="仿宋_GB2312" w:cs="仿宋_GB2312" w:hint="eastAsia"/>
          <w:spacing w:val="-2"/>
          <w:sz w:val="32"/>
          <w:szCs w:val="32"/>
          <w:lang w:val="en"/>
        </w:rPr>
        <w:t xml:space="preserve">  </w:t>
      </w:r>
      <w:r>
        <w:rPr>
          <w:rFonts w:ascii="仿宋_GB2312" w:eastAsia="仿宋_GB2312" w:hAnsi="仿宋_GB2312" w:cs="仿宋_GB2312" w:hint="eastAsia"/>
          <w:spacing w:val="-2"/>
          <w:sz w:val="32"/>
          <w:szCs w:val="32"/>
          <w:lang w:val="en"/>
        </w:rPr>
        <w:t>为规范国家自然科学基金资助项目（以下简称项目）资金管理和使用，提高资金使用效益，根据《国家自然科学基金条例》</w:t>
      </w:r>
      <w:r>
        <w:rPr>
          <w:rFonts w:ascii="仿宋_GB2312" w:eastAsia="仿宋_GB2312" w:hAnsi="仿宋_GB2312" w:cs="仿宋_GB2312" w:hint="eastAsia"/>
          <w:spacing w:val="-2"/>
          <w:sz w:val="32"/>
          <w:szCs w:val="32"/>
          <w:lang w:val="en"/>
        </w:rPr>
        <w:t>、</w:t>
      </w:r>
      <w:r>
        <w:rPr>
          <w:rFonts w:ascii="仿宋_GB2312" w:eastAsia="仿宋_GB2312" w:hAnsi="仿宋_GB2312" w:cs="仿宋_GB2312" w:hint="eastAsia"/>
          <w:spacing w:val="-2"/>
          <w:sz w:val="32"/>
          <w:szCs w:val="32"/>
          <w:lang w:val="en"/>
        </w:rPr>
        <w:t>《中共中央办公厅</w:t>
      </w:r>
      <w:r>
        <w:rPr>
          <w:rFonts w:ascii="仿宋_GB2312" w:eastAsia="仿宋_GB2312" w:hAnsi="仿宋_GB2312" w:cs="仿宋_GB2312" w:hint="eastAsia"/>
          <w:spacing w:val="-2"/>
          <w:sz w:val="32"/>
          <w:szCs w:val="32"/>
          <w:lang w:val="en"/>
        </w:rPr>
        <w:t xml:space="preserve"> </w:t>
      </w:r>
      <w:r>
        <w:rPr>
          <w:rFonts w:ascii="仿宋_GB2312" w:eastAsia="仿宋_GB2312" w:hAnsi="仿宋_GB2312" w:cs="仿宋_GB2312" w:hint="eastAsia"/>
          <w:spacing w:val="-2"/>
          <w:sz w:val="32"/>
          <w:szCs w:val="32"/>
          <w:lang w:val="en"/>
        </w:rPr>
        <w:t>国务院办公厅印发</w:t>
      </w:r>
      <w:r>
        <w:rPr>
          <w:rFonts w:ascii="仿宋_GB2312" w:eastAsia="仿宋_GB2312" w:hAnsi="仿宋_GB2312" w:cs="仿宋_GB2312" w:hint="eastAsia"/>
          <w:spacing w:val="-2"/>
          <w:sz w:val="32"/>
          <w:szCs w:val="32"/>
          <w:lang w:val="en"/>
        </w:rPr>
        <w:t>&lt;</w:t>
      </w:r>
      <w:r>
        <w:rPr>
          <w:rFonts w:ascii="仿宋_GB2312" w:eastAsia="仿宋_GB2312" w:hAnsi="仿宋_GB2312" w:cs="仿宋_GB2312" w:hint="eastAsia"/>
          <w:spacing w:val="-2"/>
          <w:sz w:val="32"/>
          <w:szCs w:val="32"/>
          <w:lang w:val="en"/>
        </w:rPr>
        <w:t>关于进一步完善中央财政科研项目资金管理等政策的若干意见</w:t>
      </w:r>
      <w:r>
        <w:rPr>
          <w:rFonts w:ascii="仿宋_GB2312" w:eastAsia="仿宋_GB2312" w:hAnsi="仿宋_GB2312" w:cs="仿宋_GB2312" w:hint="eastAsia"/>
          <w:spacing w:val="-2"/>
          <w:sz w:val="32"/>
          <w:szCs w:val="32"/>
          <w:lang w:val="en"/>
        </w:rPr>
        <w:t>&gt;</w:t>
      </w:r>
      <w:r>
        <w:rPr>
          <w:rFonts w:ascii="仿宋_GB2312" w:eastAsia="仿宋_GB2312" w:hAnsi="仿宋_GB2312" w:cs="仿宋_GB2312" w:hint="eastAsia"/>
          <w:spacing w:val="-2"/>
          <w:sz w:val="32"/>
          <w:szCs w:val="32"/>
          <w:lang w:val="en"/>
        </w:rPr>
        <w:t>的通知》</w:t>
      </w:r>
      <w:r>
        <w:rPr>
          <w:rFonts w:ascii="仿宋_GB2312" w:eastAsia="仿宋_GB2312" w:hAnsi="仿宋_GB2312" w:cs="仿宋_GB2312" w:hint="eastAsia"/>
          <w:spacing w:val="-2"/>
          <w:sz w:val="32"/>
          <w:szCs w:val="32"/>
          <w:lang w:val="en"/>
        </w:rPr>
        <w:t>、</w:t>
      </w:r>
      <w:r>
        <w:rPr>
          <w:rFonts w:ascii="仿宋_GB2312" w:eastAsia="仿宋_GB2312" w:hAnsi="仿宋_GB2312" w:cs="仿宋_GB2312" w:hint="eastAsia"/>
          <w:spacing w:val="-2"/>
          <w:sz w:val="32"/>
          <w:szCs w:val="32"/>
          <w:lang w:val="en"/>
        </w:rPr>
        <w:t>《国务院关于优化科研管理提升科研绩效若干措施的通知》</w:t>
      </w:r>
      <w:r>
        <w:rPr>
          <w:rFonts w:ascii="仿宋_GB2312" w:eastAsia="仿宋_GB2312" w:hAnsi="仿宋_GB2312" w:cs="仿宋_GB2312" w:hint="eastAsia"/>
          <w:spacing w:val="-2"/>
          <w:sz w:val="32"/>
          <w:szCs w:val="32"/>
          <w:lang w:val="en"/>
        </w:rPr>
        <w:t>（</w:t>
      </w:r>
      <w:r>
        <w:rPr>
          <w:rFonts w:ascii="仿宋_GB2312" w:eastAsia="仿宋_GB2312" w:hAnsi="仿宋_GB2312" w:cs="仿宋_GB2312" w:hint="eastAsia"/>
          <w:spacing w:val="-2"/>
          <w:sz w:val="32"/>
          <w:szCs w:val="32"/>
          <w:lang w:val="en"/>
        </w:rPr>
        <w:t>国发〔</w:t>
      </w:r>
      <w:r>
        <w:rPr>
          <w:rFonts w:ascii="仿宋_GB2312" w:eastAsia="仿宋_GB2312" w:hAnsi="仿宋_GB2312" w:cs="仿宋_GB2312" w:hint="eastAsia"/>
          <w:spacing w:val="-2"/>
          <w:sz w:val="32"/>
          <w:szCs w:val="32"/>
          <w:lang w:val="en"/>
        </w:rPr>
        <w:t>20</w:t>
      </w:r>
      <w:r>
        <w:rPr>
          <w:rFonts w:ascii="仿宋_GB2312" w:eastAsia="仿宋_GB2312" w:hAnsi="仿宋_GB2312" w:cs="仿宋_GB2312" w:hint="eastAsia"/>
          <w:spacing w:val="-2"/>
          <w:sz w:val="32"/>
          <w:szCs w:val="32"/>
        </w:rPr>
        <w:t>18</w:t>
      </w:r>
      <w:r>
        <w:rPr>
          <w:rFonts w:ascii="仿宋_GB2312" w:eastAsia="仿宋_GB2312" w:hAnsi="仿宋_GB2312" w:cs="仿宋_GB2312" w:hint="eastAsia"/>
          <w:spacing w:val="-2"/>
          <w:sz w:val="32"/>
          <w:szCs w:val="32"/>
          <w:lang w:val="en"/>
        </w:rPr>
        <w:t>〕</w:t>
      </w:r>
      <w:r>
        <w:rPr>
          <w:rFonts w:ascii="仿宋_GB2312" w:eastAsia="仿宋_GB2312" w:hAnsi="仿宋_GB2312" w:cs="仿宋_GB2312" w:hint="eastAsia"/>
          <w:spacing w:val="-2"/>
          <w:sz w:val="32"/>
          <w:szCs w:val="32"/>
          <w:lang w:val="en"/>
        </w:rPr>
        <w:t>25</w:t>
      </w:r>
      <w:r>
        <w:rPr>
          <w:rFonts w:ascii="仿宋_GB2312" w:eastAsia="仿宋_GB2312" w:hAnsi="仿宋_GB2312" w:cs="仿宋_GB2312" w:hint="eastAsia"/>
          <w:spacing w:val="-2"/>
          <w:sz w:val="32"/>
          <w:szCs w:val="32"/>
          <w:lang w:val="en"/>
        </w:rPr>
        <w:t>号</w:t>
      </w:r>
      <w:r>
        <w:rPr>
          <w:rFonts w:ascii="仿宋_GB2312" w:eastAsia="仿宋_GB2312" w:hAnsi="仿宋_GB2312" w:cs="仿宋_GB2312" w:hint="eastAsia"/>
          <w:spacing w:val="-2"/>
          <w:sz w:val="32"/>
          <w:szCs w:val="32"/>
          <w:lang w:val="en"/>
        </w:rPr>
        <w:t>）、</w:t>
      </w:r>
      <w:r>
        <w:rPr>
          <w:rFonts w:ascii="仿宋_GB2312" w:eastAsia="仿宋_GB2312" w:hAnsi="仿宋_GB2312" w:cs="仿宋_GB2312" w:hint="eastAsia"/>
          <w:spacing w:val="-2"/>
          <w:sz w:val="32"/>
          <w:szCs w:val="32"/>
          <w:lang w:val="en"/>
        </w:rPr>
        <w:t>《国务院办公厅关于改革完善中央财政科研经费管理的若干意见》（国办发〔</w:t>
      </w:r>
      <w:r>
        <w:rPr>
          <w:rFonts w:ascii="仿宋_GB2312" w:eastAsia="仿宋_GB2312" w:hAnsi="仿宋_GB2312" w:cs="仿宋_GB2312" w:hint="eastAsia"/>
          <w:spacing w:val="-2"/>
          <w:sz w:val="32"/>
          <w:szCs w:val="32"/>
          <w:lang w:val="en"/>
        </w:rPr>
        <w:t>2021</w:t>
      </w:r>
      <w:r>
        <w:rPr>
          <w:rFonts w:ascii="仿宋_GB2312" w:eastAsia="仿宋_GB2312" w:hAnsi="仿宋_GB2312" w:cs="仿宋_GB2312" w:hint="eastAsia"/>
          <w:spacing w:val="-2"/>
          <w:sz w:val="32"/>
          <w:szCs w:val="32"/>
          <w:lang w:val="en"/>
        </w:rPr>
        <w:t>〕</w:t>
      </w:r>
      <w:r>
        <w:rPr>
          <w:rFonts w:ascii="仿宋_GB2312" w:eastAsia="仿宋_GB2312" w:hAnsi="仿宋_GB2312" w:cs="仿宋_GB2312" w:hint="eastAsia"/>
          <w:spacing w:val="-2"/>
          <w:sz w:val="32"/>
          <w:szCs w:val="32"/>
          <w:lang w:val="en"/>
        </w:rPr>
        <w:t>32</w:t>
      </w:r>
      <w:r>
        <w:rPr>
          <w:rFonts w:ascii="仿宋_GB2312" w:eastAsia="仿宋_GB2312" w:hAnsi="仿宋_GB2312" w:cs="仿宋_GB2312" w:hint="eastAsia"/>
          <w:spacing w:val="-2"/>
          <w:sz w:val="32"/>
          <w:szCs w:val="32"/>
          <w:lang w:val="en"/>
        </w:rPr>
        <w:t>号）</w:t>
      </w:r>
      <w:r>
        <w:rPr>
          <w:rFonts w:ascii="仿宋_GB2312" w:eastAsia="仿宋_GB2312" w:hAnsi="仿宋_GB2312" w:cs="仿宋_GB2312" w:hint="eastAsia"/>
          <w:spacing w:val="-2"/>
          <w:sz w:val="32"/>
          <w:szCs w:val="32"/>
          <w:lang w:val="en"/>
        </w:rPr>
        <w:t>等要求，以及</w:t>
      </w:r>
      <w:r>
        <w:rPr>
          <w:rFonts w:ascii="仿宋_GB2312" w:eastAsia="仿宋_GB2312" w:hAnsi="仿宋_GB2312" w:cs="仿宋_GB2312" w:hint="eastAsia"/>
          <w:spacing w:val="-2"/>
          <w:sz w:val="32"/>
          <w:szCs w:val="32"/>
          <w:lang w:val="en"/>
        </w:rPr>
        <w:t>国家</w:t>
      </w:r>
      <w:r>
        <w:rPr>
          <w:rFonts w:ascii="仿宋_GB2312" w:eastAsia="仿宋_GB2312" w:hAnsi="仿宋_GB2312" w:cs="仿宋_GB2312" w:hint="eastAsia"/>
          <w:spacing w:val="-2"/>
          <w:sz w:val="32"/>
          <w:szCs w:val="32"/>
          <w:lang w:val="en"/>
        </w:rPr>
        <w:t>有关财经法规和财务管理制度，结合国家自然科学基金</w:t>
      </w:r>
      <w:r>
        <w:rPr>
          <w:rFonts w:ascii="仿宋_GB2312" w:eastAsia="仿宋_GB2312" w:hAnsi="仿宋_GB2312" w:cs="仿宋_GB2312" w:hint="eastAsia"/>
          <w:spacing w:val="-2"/>
          <w:sz w:val="32"/>
          <w:szCs w:val="32"/>
          <w:lang w:val="en"/>
        </w:rPr>
        <w:t>（以下简称自然科学基金）</w:t>
      </w:r>
      <w:r>
        <w:rPr>
          <w:rFonts w:ascii="仿宋_GB2312" w:eastAsia="仿宋_GB2312" w:hAnsi="仿宋_GB2312" w:cs="仿宋_GB2312" w:hint="eastAsia"/>
          <w:spacing w:val="-2"/>
          <w:sz w:val="32"/>
          <w:szCs w:val="32"/>
          <w:lang w:val="en"/>
        </w:rPr>
        <w:t>管理特点，</w:t>
      </w:r>
      <w:r>
        <w:rPr>
          <w:rFonts w:ascii="仿宋_GB2312" w:eastAsia="仿宋_GB2312" w:hAnsi="仿宋_GB2312" w:cs="仿宋_GB2312" w:hint="eastAsia"/>
          <w:spacing w:val="-2"/>
          <w:sz w:val="32"/>
          <w:szCs w:val="32"/>
          <w:lang w:val="en"/>
        </w:rPr>
        <w:t>制定本办法。</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lang w:val="en"/>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第二条</w:t>
      </w:r>
      <w:r>
        <w:rPr>
          <w:rFonts w:ascii="仿宋_GB2312" w:eastAsia="仿宋_GB2312" w:hAnsi="仿宋_GB2312" w:cs="仿宋_GB2312" w:hint="eastAsia"/>
          <w:spacing w:val="-2"/>
          <w:sz w:val="32"/>
          <w:szCs w:val="32"/>
          <w:lang w:val="en"/>
        </w:rPr>
        <w:t xml:space="preserve">  </w:t>
      </w:r>
      <w:r>
        <w:rPr>
          <w:rFonts w:ascii="仿宋_GB2312" w:eastAsia="仿宋_GB2312" w:hAnsi="仿宋_GB2312" w:cs="仿宋_GB2312" w:hint="eastAsia"/>
          <w:spacing w:val="-2"/>
          <w:sz w:val="32"/>
          <w:szCs w:val="32"/>
          <w:lang w:val="en"/>
        </w:rPr>
        <w:t>本办法所称项目资金，是指自然科学基金用于资助科学技术人员开展基础研究和科学前沿探索，支持人才和团队建设的专项资金。</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lang w:val="en"/>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第三条</w:t>
      </w:r>
      <w:r>
        <w:rPr>
          <w:rFonts w:ascii="仿宋_GB2312" w:eastAsia="仿宋_GB2312" w:hAnsi="仿宋_GB2312" w:cs="仿宋_GB2312" w:hint="eastAsia"/>
          <w:spacing w:val="-2"/>
          <w:sz w:val="32"/>
          <w:szCs w:val="32"/>
          <w:lang w:val="en"/>
        </w:rPr>
        <w:t xml:space="preserve">  </w:t>
      </w:r>
      <w:r>
        <w:rPr>
          <w:rFonts w:ascii="仿宋_GB2312" w:eastAsia="仿宋_GB2312" w:hAnsi="仿宋_GB2312" w:cs="仿宋_GB2312" w:hint="eastAsia"/>
          <w:spacing w:val="-2"/>
          <w:sz w:val="32"/>
          <w:szCs w:val="32"/>
          <w:lang w:val="en"/>
        </w:rPr>
        <w:t>财政部根据国家科技发展规划，结合自然科学基金资金需求和国家财力可能，将项目资金列入中央财政预算，并负责宏观管理和监督。</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lang w:val="en"/>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第四条</w:t>
      </w:r>
      <w:r>
        <w:rPr>
          <w:rFonts w:ascii="黑体" w:eastAsia="黑体" w:hAnsi="黑体" w:cs="黑体" w:hint="eastAsia"/>
          <w:spacing w:val="-2"/>
          <w:sz w:val="32"/>
          <w:szCs w:val="32"/>
          <w:lang w:val="en"/>
        </w:rPr>
        <w:t xml:space="preserve"> </w:t>
      </w:r>
      <w:r>
        <w:rPr>
          <w:rFonts w:ascii="仿宋_GB2312" w:eastAsia="仿宋_GB2312" w:hAnsi="仿宋_GB2312" w:cs="仿宋_GB2312" w:hint="eastAsia"/>
          <w:spacing w:val="-2"/>
          <w:sz w:val="32"/>
          <w:szCs w:val="32"/>
          <w:lang w:val="en"/>
        </w:rPr>
        <w:t xml:space="preserve"> </w:t>
      </w:r>
      <w:r>
        <w:rPr>
          <w:rFonts w:ascii="仿宋_GB2312" w:eastAsia="仿宋_GB2312" w:hAnsi="仿宋_GB2312" w:cs="仿宋_GB2312" w:hint="eastAsia"/>
          <w:spacing w:val="-2"/>
          <w:sz w:val="32"/>
          <w:szCs w:val="32"/>
          <w:lang w:val="en"/>
        </w:rPr>
        <w:t>国家自然科学基金委员会（</w:t>
      </w:r>
      <w:r>
        <w:rPr>
          <w:rFonts w:ascii="仿宋_GB2312" w:eastAsia="仿宋_GB2312" w:hAnsi="仿宋_GB2312" w:cs="仿宋_GB2312" w:hint="eastAsia"/>
          <w:spacing w:val="-2"/>
          <w:sz w:val="32"/>
          <w:szCs w:val="32"/>
          <w:lang w:val="en"/>
        </w:rPr>
        <w:t>以下简称自然科学基金委）依法负责项目的立项和审批，并对项目资金进行具</w:t>
      </w:r>
      <w:r>
        <w:rPr>
          <w:rFonts w:ascii="仿宋_GB2312" w:eastAsia="仿宋_GB2312" w:hAnsi="仿宋_GB2312" w:cs="仿宋_GB2312" w:hint="eastAsia"/>
          <w:spacing w:val="-2"/>
          <w:sz w:val="32"/>
          <w:szCs w:val="32"/>
          <w:lang w:val="en"/>
        </w:rPr>
        <w:lastRenderedPageBreak/>
        <w:t>体管理和监督。</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lang w:val="en"/>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第五条</w:t>
      </w:r>
      <w:r>
        <w:rPr>
          <w:rFonts w:ascii="黑体" w:eastAsia="黑体" w:hAnsi="黑体" w:cs="黑体" w:hint="eastAsia"/>
          <w:spacing w:val="-2"/>
          <w:sz w:val="32"/>
          <w:szCs w:val="32"/>
          <w:lang w:val="en"/>
        </w:rPr>
        <w:t xml:space="preserve"> </w:t>
      </w:r>
      <w:r>
        <w:rPr>
          <w:rFonts w:ascii="仿宋_GB2312" w:eastAsia="仿宋_GB2312" w:hAnsi="仿宋_GB2312" w:cs="仿宋_GB2312" w:hint="eastAsia"/>
          <w:spacing w:val="-2"/>
          <w:sz w:val="32"/>
          <w:szCs w:val="32"/>
          <w:lang w:val="en"/>
        </w:rPr>
        <w:t xml:space="preserve"> </w:t>
      </w:r>
      <w:r>
        <w:rPr>
          <w:rFonts w:ascii="仿宋_GB2312" w:eastAsia="仿宋_GB2312" w:hAnsi="仿宋_GB2312" w:cs="仿宋_GB2312" w:hint="eastAsia"/>
          <w:spacing w:val="-2"/>
          <w:sz w:val="32"/>
          <w:szCs w:val="32"/>
          <w:lang w:val="en"/>
        </w:rPr>
        <w:t>依托单位是项目资金管理的责任主体，应当建立健全“统一领导、分级管理、责任到人”的项目资金管理体制和制度，完善内部控制、绩效管理和监督约束机制，合理确定科研、财务、人事、资产、审计、监察等部门的责任和权限，加强对项目资金的管理和监督。</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lang w:val="en"/>
        </w:rPr>
      </w:pP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lang w:val="en"/>
        </w:rPr>
        <w:t>依托单位应当落实项目承诺的自筹资金及其他配套条件，对项目组织实施提供条件保障。</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lang w:val="en"/>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第六条</w:t>
      </w:r>
      <w:r>
        <w:rPr>
          <w:rFonts w:ascii="仿宋_GB2312" w:eastAsia="仿宋_GB2312" w:hAnsi="仿宋_GB2312" w:cs="仿宋_GB2312" w:hint="eastAsia"/>
          <w:spacing w:val="-2"/>
          <w:sz w:val="32"/>
          <w:szCs w:val="32"/>
          <w:lang w:val="en"/>
        </w:rPr>
        <w:t xml:space="preserve">  </w:t>
      </w:r>
      <w:r>
        <w:rPr>
          <w:rFonts w:ascii="仿宋_GB2312" w:eastAsia="仿宋_GB2312" w:hAnsi="仿宋_GB2312" w:cs="仿宋_GB2312" w:hint="eastAsia"/>
          <w:spacing w:val="-2"/>
          <w:sz w:val="32"/>
          <w:szCs w:val="32"/>
        </w:rPr>
        <w:t>项目负责人是项目资金使用的直接责任人，对资金使用的合</w:t>
      </w:r>
      <w:proofErr w:type="gramStart"/>
      <w:r>
        <w:rPr>
          <w:rFonts w:ascii="仿宋_GB2312" w:eastAsia="仿宋_GB2312" w:hAnsi="仿宋_GB2312" w:cs="仿宋_GB2312" w:hint="eastAsia"/>
          <w:spacing w:val="-2"/>
          <w:sz w:val="32"/>
          <w:szCs w:val="32"/>
        </w:rPr>
        <w:t>规</w:t>
      </w:r>
      <w:proofErr w:type="gramEnd"/>
      <w:r>
        <w:rPr>
          <w:rFonts w:ascii="仿宋_GB2312" w:eastAsia="仿宋_GB2312" w:hAnsi="仿宋_GB2312" w:cs="仿宋_GB2312" w:hint="eastAsia"/>
          <w:spacing w:val="-2"/>
          <w:sz w:val="32"/>
          <w:szCs w:val="32"/>
        </w:rPr>
        <w:t>性、合理性、真实</w:t>
      </w:r>
      <w:r>
        <w:rPr>
          <w:rFonts w:ascii="仿宋_GB2312" w:eastAsia="仿宋_GB2312" w:hAnsi="仿宋_GB2312" w:cs="仿宋_GB2312" w:hint="eastAsia"/>
          <w:spacing w:val="-2"/>
          <w:sz w:val="32"/>
          <w:szCs w:val="32"/>
        </w:rPr>
        <w:t>性和相关性负责</w:t>
      </w:r>
      <w:r>
        <w:rPr>
          <w:rFonts w:ascii="仿宋_GB2312" w:eastAsia="仿宋_GB2312" w:hAnsi="仿宋_GB2312" w:cs="仿宋_GB2312" w:hint="eastAsia"/>
          <w:spacing w:val="-2"/>
          <w:sz w:val="32"/>
          <w:szCs w:val="32"/>
          <w:lang w:val="en"/>
        </w:rPr>
        <w:t>。</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lang w:val="en"/>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第七条</w:t>
      </w:r>
      <w:r>
        <w:rPr>
          <w:rFonts w:ascii="黑体" w:eastAsia="黑体" w:hAnsi="黑体" w:cs="黑体" w:hint="eastAsia"/>
          <w:spacing w:val="-2"/>
          <w:sz w:val="32"/>
          <w:szCs w:val="32"/>
          <w:lang w:val="en"/>
        </w:rPr>
        <w:t xml:space="preserve"> </w:t>
      </w:r>
      <w:r>
        <w:rPr>
          <w:rFonts w:ascii="仿宋_GB2312" w:eastAsia="仿宋_GB2312" w:hAnsi="仿宋_GB2312" w:cs="仿宋_GB2312" w:hint="eastAsia"/>
          <w:spacing w:val="-2"/>
          <w:sz w:val="32"/>
          <w:szCs w:val="32"/>
          <w:lang w:val="en"/>
        </w:rPr>
        <w:t xml:space="preserve"> </w:t>
      </w:r>
      <w:r>
        <w:rPr>
          <w:rFonts w:ascii="仿宋_GB2312" w:eastAsia="仿宋_GB2312" w:hAnsi="仿宋_GB2312" w:cs="仿宋_GB2312" w:hint="eastAsia"/>
          <w:spacing w:val="-2"/>
          <w:sz w:val="32"/>
          <w:szCs w:val="32"/>
          <w:lang w:val="en"/>
        </w:rPr>
        <w:t>根据预算管理方式不同，自然科学基金项目资金管理分为包干制和预算制。</w:t>
      </w:r>
    </w:p>
    <w:p w:rsidR="00027FAB" w:rsidRDefault="00027FAB">
      <w:pPr>
        <w:spacing w:line="560" w:lineRule="exact"/>
        <w:ind w:firstLineChars="179" w:firstLine="573"/>
        <w:rPr>
          <w:rFonts w:ascii="仿宋_GB2312" w:eastAsia="仿宋_GB2312"/>
          <w:sz w:val="32"/>
          <w:szCs w:val="32"/>
        </w:rPr>
      </w:pPr>
    </w:p>
    <w:p w:rsidR="00027FAB" w:rsidRDefault="0005738E">
      <w:pPr>
        <w:widowControl/>
        <w:spacing w:afterLines="50" w:after="156" w:line="560" w:lineRule="exact"/>
        <w:jc w:val="center"/>
        <w:rPr>
          <w:rFonts w:ascii="黑体" w:eastAsia="黑体" w:hAnsi="Arial" w:cs="Arial"/>
          <w:bCs/>
          <w:color w:val="000000"/>
          <w:kern w:val="0"/>
          <w:sz w:val="32"/>
          <w:szCs w:val="32"/>
        </w:rPr>
      </w:pPr>
      <w:r>
        <w:rPr>
          <w:rFonts w:ascii="黑体" w:eastAsia="黑体" w:hAnsi="Arial" w:cs="Arial" w:hint="eastAsia"/>
          <w:bCs/>
          <w:color w:val="000000"/>
          <w:kern w:val="0"/>
          <w:sz w:val="32"/>
          <w:szCs w:val="32"/>
        </w:rPr>
        <w:t>第二章</w:t>
      </w:r>
      <w:r>
        <w:rPr>
          <w:rFonts w:ascii="黑体" w:eastAsia="黑体" w:hAnsi="Arial" w:cs="Arial" w:hint="eastAsia"/>
          <w:bCs/>
          <w:color w:val="000000"/>
          <w:kern w:val="0"/>
          <w:sz w:val="32"/>
          <w:szCs w:val="32"/>
        </w:rPr>
        <w:t xml:space="preserve">  </w:t>
      </w:r>
      <w:r>
        <w:rPr>
          <w:rFonts w:ascii="黑体" w:eastAsia="黑体" w:hAnsi="Arial" w:cs="Arial" w:hint="eastAsia"/>
          <w:bCs/>
          <w:color w:val="000000"/>
          <w:kern w:val="0"/>
          <w:sz w:val="32"/>
          <w:szCs w:val="32"/>
        </w:rPr>
        <w:t>项目资金开支范围</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第八条</w:t>
      </w: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项目资金支出是指与项目研究工作相关的、由项目资金支付的各项费用支出。项目资金由直接费用和间接费用组成。</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第九条</w:t>
      </w:r>
      <w:r>
        <w:rPr>
          <w:rFonts w:ascii="黑体" w:eastAsia="黑体" w:hAnsi="黑体" w:cs="黑体" w:hint="eastAsia"/>
          <w:spacing w:val="-2"/>
          <w:sz w:val="32"/>
          <w:szCs w:val="32"/>
        </w:rPr>
        <w:t xml:space="preserve"> </w:t>
      </w: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直接费用是指在项目实施过程中发生的与之直接相关的费用，主要包括：</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一）设备费：是指在项目实施过程中购置或试制专用仪器设备，对现有仪器设备进行升级改造，以及租赁外单位仪器设备而发生的费用。计算类仪器设备和软件工具可在设备费科目列支。应当严格控制设备购置，鼓励开放共享、自</w:t>
      </w:r>
      <w:r>
        <w:rPr>
          <w:rFonts w:ascii="仿宋_GB2312" w:eastAsia="仿宋_GB2312" w:hAnsi="仿宋_GB2312" w:cs="仿宋_GB2312" w:hint="eastAsia"/>
          <w:spacing w:val="-2"/>
          <w:sz w:val="32"/>
          <w:szCs w:val="32"/>
        </w:rPr>
        <w:lastRenderedPageBreak/>
        <w:t>主研制、租赁专用仪器设备以及对现有仪器设备进行升级改造，避免重复购置。</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（二）业务费：是指项目实施过程中消耗的各种材料、辅助材料等低值易耗品的采购、运输、装卸、整理等费用，发生的测试化验加工、燃料动力、出版</w:t>
      </w:r>
      <w:r>
        <w:rPr>
          <w:rFonts w:ascii="仿宋_GB2312" w:eastAsia="仿宋_GB2312" w:hAnsi="仿宋_GB2312" w:cs="仿宋_GB2312" w:hint="eastAsia"/>
          <w:spacing w:val="-2"/>
          <w:sz w:val="32"/>
          <w:szCs w:val="32"/>
        </w:rPr>
        <w:t>/</w:t>
      </w:r>
      <w:r>
        <w:rPr>
          <w:rFonts w:ascii="仿宋_GB2312" w:eastAsia="仿宋_GB2312" w:hAnsi="仿宋_GB2312" w:cs="仿宋_GB2312" w:hint="eastAsia"/>
          <w:spacing w:val="-2"/>
          <w:sz w:val="32"/>
          <w:szCs w:val="32"/>
        </w:rPr>
        <w:t>文献</w:t>
      </w:r>
      <w:r>
        <w:rPr>
          <w:rFonts w:ascii="仿宋_GB2312" w:eastAsia="仿宋_GB2312" w:hAnsi="仿宋_GB2312" w:cs="仿宋_GB2312" w:hint="eastAsia"/>
          <w:spacing w:val="-2"/>
          <w:sz w:val="32"/>
          <w:szCs w:val="32"/>
        </w:rPr>
        <w:t>/</w:t>
      </w:r>
      <w:r>
        <w:rPr>
          <w:rFonts w:ascii="仿宋_GB2312" w:eastAsia="仿宋_GB2312" w:hAnsi="仿宋_GB2312" w:cs="仿宋_GB2312" w:hint="eastAsia"/>
          <w:spacing w:val="-2"/>
          <w:sz w:val="32"/>
          <w:szCs w:val="32"/>
        </w:rPr>
        <w:t>信息传播</w:t>
      </w:r>
      <w:r>
        <w:rPr>
          <w:rFonts w:ascii="仿宋_GB2312" w:eastAsia="仿宋_GB2312" w:hAnsi="仿宋_GB2312" w:cs="仿宋_GB2312" w:hint="eastAsia"/>
          <w:spacing w:val="-2"/>
          <w:sz w:val="32"/>
          <w:szCs w:val="32"/>
        </w:rPr>
        <w:t>/</w:t>
      </w:r>
      <w:r>
        <w:rPr>
          <w:rFonts w:ascii="仿宋_GB2312" w:eastAsia="仿宋_GB2312" w:hAnsi="仿宋_GB2312" w:cs="仿宋_GB2312" w:hint="eastAsia"/>
          <w:spacing w:val="-2"/>
          <w:sz w:val="32"/>
          <w:szCs w:val="32"/>
        </w:rPr>
        <w:t>知识产权事务、会议</w:t>
      </w:r>
      <w:r>
        <w:rPr>
          <w:rFonts w:ascii="仿宋_GB2312" w:eastAsia="仿宋_GB2312" w:hAnsi="仿宋_GB2312" w:cs="仿宋_GB2312" w:hint="eastAsia"/>
          <w:spacing w:val="-2"/>
          <w:sz w:val="32"/>
          <w:szCs w:val="32"/>
        </w:rPr>
        <w:t>/</w:t>
      </w:r>
      <w:r>
        <w:rPr>
          <w:rFonts w:ascii="仿宋_GB2312" w:eastAsia="仿宋_GB2312" w:hAnsi="仿宋_GB2312" w:cs="仿宋_GB2312" w:hint="eastAsia"/>
          <w:spacing w:val="-2"/>
          <w:sz w:val="32"/>
          <w:szCs w:val="32"/>
        </w:rPr>
        <w:t>差旅</w:t>
      </w:r>
      <w:r>
        <w:rPr>
          <w:rFonts w:ascii="仿宋_GB2312" w:eastAsia="仿宋_GB2312" w:hAnsi="仿宋_GB2312" w:cs="仿宋_GB2312" w:hint="eastAsia"/>
          <w:spacing w:val="-2"/>
          <w:sz w:val="32"/>
          <w:szCs w:val="32"/>
        </w:rPr>
        <w:t>/</w:t>
      </w:r>
      <w:r>
        <w:rPr>
          <w:rFonts w:ascii="仿宋_GB2312" w:eastAsia="仿宋_GB2312" w:hAnsi="仿宋_GB2312" w:cs="仿宋_GB2312" w:hint="eastAsia"/>
          <w:spacing w:val="-2"/>
          <w:sz w:val="32"/>
          <w:szCs w:val="32"/>
        </w:rPr>
        <w:t>国际合作交流等费用，以及其他相关支出。</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（三）劳务费：是指在项目实施过程中支付给参与项目研究的研究生、博士后、访问学者以及项目聘用的研究人员、科研辅助人员等的劳务性费用，以及支付给临时聘请的咨询专家的费用等。</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项目聘用人员的劳务费开支标准，参照当地科学研究和技术服务业从业人员平均工资水平，根据其在项目研究中承担的工作任务确定，其由单位缴纳的社会保险补助、住房公积金等纳入劳务费科目列支。</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支付给临时聘请的咨询专家的费用，不得支付给参与本项目及所属课题研究和管理的相关人员，其管理按照国家有关规定执行。</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第十条</w:t>
      </w: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间接费用是指依托单位在组织实施项目过程中发生的无法在直接费用中列支的相关费用。主要包括：依托单位为项目研究提供的房屋占用，日常水、电、气、暖等消耗，有关管理费用的补助支出，以及激励科研</w:t>
      </w:r>
      <w:r>
        <w:rPr>
          <w:rFonts w:ascii="仿宋_GB2312" w:eastAsia="仿宋_GB2312" w:hAnsi="仿宋_GB2312" w:cs="仿宋_GB2312" w:hint="eastAsia"/>
          <w:spacing w:val="-2"/>
          <w:sz w:val="32"/>
          <w:szCs w:val="32"/>
        </w:rPr>
        <w:t>人员的绩效支出等。</w:t>
      </w:r>
    </w:p>
    <w:p w:rsidR="00027FAB" w:rsidRDefault="00027FAB">
      <w:pPr>
        <w:widowControl/>
        <w:spacing w:afterLines="50" w:after="156" w:line="560" w:lineRule="exact"/>
        <w:ind w:firstLineChars="179" w:firstLine="573"/>
        <w:jc w:val="center"/>
        <w:rPr>
          <w:rFonts w:ascii="黑体" w:eastAsia="黑体" w:hAnsi="Arial" w:cs="Arial"/>
          <w:bCs/>
          <w:color w:val="000000"/>
          <w:kern w:val="0"/>
          <w:sz w:val="32"/>
          <w:szCs w:val="32"/>
        </w:rPr>
      </w:pPr>
    </w:p>
    <w:p w:rsidR="00027FAB" w:rsidRDefault="0005738E">
      <w:pPr>
        <w:widowControl/>
        <w:spacing w:afterLines="50" w:after="156" w:line="560" w:lineRule="exact"/>
        <w:jc w:val="center"/>
        <w:rPr>
          <w:rFonts w:ascii="黑体" w:eastAsia="黑体" w:hAnsi="Arial" w:cs="Arial"/>
          <w:bCs/>
          <w:color w:val="000000"/>
          <w:kern w:val="0"/>
          <w:sz w:val="32"/>
          <w:szCs w:val="32"/>
        </w:rPr>
      </w:pPr>
      <w:r>
        <w:rPr>
          <w:rFonts w:ascii="黑体" w:eastAsia="黑体" w:hAnsi="Arial" w:cs="Arial" w:hint="eastAsia"/>
          <w:bCs/>
          <w:color w:val="000000"/>
          <w:kern w:val="0"/>
          <w:sz w:val="32"/>
          <w:szCs w:val="32"/>
        </w:rPr>
        <w:t>第三章</w:t>
      </w:r>
      <w:r>
        <w:rPr>
          <w:rFonts w:ascii="黑体" w:eastAsia="黑体" w:hAnsi="Arial" w:cs="Arial" w:hint="eastAsia"/>
          <w:bCs/>
          <w:color w:val="000000"/>
          <w:kern w:val="0"/>
          <w:sz w:val="32"/>
          <w:szCs w:val="32"/>
        </w:rPr>
        <w:t xml:space="preserve">  </w:t>
      </w:r>
      <w:r>
        <w:rPr>
          <w:rFonts w:ascii="黑体" w:eastAsia="黑体" w:hAnsi="Arial" w:cs="Arial" w:hint="eastAsia"/>
          <w:bCs/>
          <w:color w:val="000000"/>
          <w:kern w:val="0"/>
          <w:sz w:val="32"/>
          <w:szCs w:val="32"/>
        </w:rPr>
        <w:t>包干制项目资金</w:t>
      </w:r>
      <w:r>
        <w:rPr>
          <w:rFonts w:ascii="黑体" w:eastAsia="黑体" w:hAnsi="Arial" w:cs="Arial" w:hint="eastAsia"/>
          <w:bCs/>
          <w:color w:val="000000"/>
          <w:kern w:val="0"/>
          <w:sz w:val="32"/>
          <w:szCs w:val="32"/>
        </w:rPr>
        <w:t>申请与审批</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第十一条</w:t>
      </w: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包干制项目申请人应当本着科学、合理、规范、有效的原则申请资助额度，无需编制项目预算。</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多个单位共同承担一个项目的，由项目申请人汇总申请资助额度。</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 xml:space="preserve"> </w:t>
      </w:r>
      <w:r>
        <w:rPr>
          <w:rFonts w:ascii="黑体" w:eastAsia="黑体" w:hAnsi="黑体" w:cs="黑体" w:hint="eastAsia"/>
          <w:spacing w:val="-2"/>
          <w:sz w:val="32"/>
          <w:szCs w:val="32"/>
        </w:rPr>
        <w:t>第十二条</w:t>
      </w:r>
      <w:r>
        <w:rPr>
          <w:rFonts w:ascii="黑体" w:eastAsia="黑体" w:hAnsi="黑体" w:cs="黑体" w:hint="eastAsia"/>
          <w:spacing w:val="-2"/>
          <w:sz w:val="32"/>
          <w:szCs w:val="32"/>
        </w:rPr>
        <w:t xml:space="preserve"> </w:t>
      </w: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自然科学基金委组织专家对包干制项目和申请资助额度进行评审</w:t>
      </w:r>
      <w:r>
        <w:rPr>
          <w:rFonts w:ascii="仿宋_GB2312" w:eastAsia="仿宋_GB2312" w:hAnsi="仿宋_GB2312" w:cs="仿宋_GB2312" w:hint="eastAsia"/>
          <w:spacing w:val="-2"/>
          <w:sz w:val="32"/>
          <w:szCs w:val="32"/>
        </w:rPr>
        <w:t>,</w:t>
      </w:r>
      <w:r>
        <w:rPr>
          <w:rFonts w:ascii="仿宋_GB2312" w:eastAsia="仿宋_GB2312" w:hAnsi="仿宋_GB2312" w:cs="仿宋_GB2312" w:hint="eastAsia"/>
          <w:spacing w:val="-2"/>
          <w:sz w:val="32"/>
          <w:szCs w:val="32"/>
        </w:rPr>
        <w:t>根据专家评审意见并参考同类项目平均资助强度确定项目资助额度。</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第十三条</w:t>
      </w: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包干制项目资金由项目负责人自主决定使用，按照本办法第九条规定的开支范围列支，无需履行调剂程序。</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对于依托单位为项</w:t>
      </w:r>
      <w:r>
        <w:rPr>
          <w:rFonts w:ascii="仿宋_GB2312" w:eastAsia="仿宋_GB2312" w:hAnsi="仿宋_GB2312" w:cs="仿宋_GB2312" w:hint="eastAsia"/>
          <w:spacing w:val="-2"/>
          <w:sz w:val="32"/>
          <w:szCs w:val="32"/>
        </w:rPr>
        <w:t>目研究提供的房屋占用，日常水、电、气、暖等消耗，有关管理费用的补助支出，由依托单位根据实际管理需要，在充分征求项目负责人意见基础上合理确定。</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对于激励科研人员的绩效支出，由项目负责人根据实际科研需要和相关薪酬标准自主确定，依托单位按照工资制度进行管理。</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第十四条</w:t>
      </w: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项目资金应当纳入依托单位财务统一管理，单独核算，专款专用。</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第十五条</w:t>
      </w: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依托单位应当制定项目经费包干制管理规定，管理规定应当包括经费使用范围和标准、各方责任、违规惩戒措施等内容，报自然科学基金委备案。</w:t>
      </w:r>
    </w:p>
    <w:p w:rsidR="00027FAB" w:rsidRDefault="00027FAB">
      <w:pPr>
        <w:widowControl/>
        <w:snapToGrid w:val="0"/>
        <w:spacing w:afterLines="50" w:after="156" w:line="560" w:lineRule="exact"/>
        <w:ind w:left="431"/>
        <w:jc w:val="center"/>
        <w:rPr>
          <w:rFonts w:ascii="黑体" w:eastAsia="黑体" w:hAnsi="Arial" w:cs="Arial"/>
          <w:bCs/>
          <w:color w:val="000000"/>
          <w:kern w:val="0"/>
          <w:sz w:val="32"/>
          <w:szCs w:val="32"/>
        </w:rPr>
      </w:pPr>
    </w:p>
    <w:p w:rsidR="00027FAB" w:rsidRDefault="0005738E">
      <w:pPr>
        <w:widowControl/>
        <w:spacing w:afterLines="50" w:after="156" w:line="560" w:lineRule="exact"/>
        <w:jc w:val="center"/>
        <w:rPr>
          <w:rFonts w:ascii="黑体" w:eastAsia="黑体" w:hAnsi="Arial" w:cs="Arial"/>
          <w:bCs/>
          <w:color w:val="000000"/>
          <w:kern w:val="0"/>
          <w:sz w:val="32"/>
          <w:szCs w:val="32"/>
        </w:rPr>
      </w:pPr>
      <w:r>
        <w:rPr>
          <w:rFonts w:ascii="黑体" w:eastAsia="黑体" w:hAnsi="Arial" w:cs="Arial" w:hint="eastAsia"/>
          <w:bCs/>
          <w:color w:val="000000"/>
          <w:kern w:val="0"/>
          <w:sz w:val="32"/>
          <w:szCs w:val="32"/>
        </w:rPr>
        <w:lastRenderedPageBreak/>
        <w:t>第四章</w:t>
      </w:r>
      <w:r>
        <w:rPr>
          <w:rFonts w:ascii="黑体" w:eastAsia="黑体" w:hAnsi="Arial" w:cs="Arial" w:hint="eastAsia"/>
          <w:bCs/>
          <w:color w:val="000000"/>
          <w:kern w:val="0"/>
          <w:sz w:val="32"/>
          <w:szCs w:val="32"/>
        </w:rPr>
        <w:t xml:space="preserve">  </w:t>
      </w:r>
      <w:r>
        <w:rPr>
          <w:rFonts w:ascii="黑体" w:eastAsia="黑体" w:hAnsi="Arial" w:cs="Arial" w:hint="eastAsia"/>
          <w:bCs/>
          <w:color w:val="000000"/>
          <w:kern w:val="0"/>
          <w:sz w:val="32"/>
          <w:szCs w:val="32"/>
        </w:rPr>
        <w:t>预算</w:t>
      </w:r>
      <w:proofErr w:type="gramStart"/>
      <w:r>
        <w:rPr>
          <w:rFonts w:ascii="黑体" w:eastAsia="黑体" w:hAnsi="Arial" w:cs="Arial" w:hint="eastAsia"/>
          <w:bCs/>
          <w:color w:val="000000"/>
          <w:kern w:val="0"/>
          <w:sz w:val="32"/>
          <w:szCs w:val="32"/>
        </w:rPr>
        <w:t>制项目</w:t>
      </w:r>
      <w:proofErr w:type="gramEnd"/>
      <w:r>
        <w:rPr>
          <w:rFonts w:ascii="黑体" w:eastAsia="黑体" w:hAnsi="Arial" w:cs="Arial" w:hint="eastAsia"/>
          <w:bCs/>
          <w:color w:val="000000"/>
          <w:kern w:val="0"/>
          <w:sz w:val="32"/>
          <w:szCs w:val="32"/>
        </w:rPr>
        <w:t>资金</w:t>
      </w:r>
      <w:r>
        <w:rPr>
          <w:rFonts w:ascii="黑体" w:eastAsia="黑体" w:hAnsi="Arial" w:cs="Arial" w:hint="eastAsia"/>
          <w:bCs/>
          <w:color w:val="000000"/>
          <w:kern w:val="0"/>
          <w:sz w:val="32"/>
          <w:szCs w:val="32"/>
        </w:rPr>
        <w:t>申请与审批</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第十六条</w:t>
      </w: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预算</w:t>
      </w:r>
      <w:proofErr w:type="gramStart"/>
      <w:r>
        <w:rPr>
          <w:rFonts w:ascii="仿宋_GB2312" w:eastAsia="仿宋_GB2312" w:hAnsi="仿宋_GB2312" w:cs="仿宋_GB2312" w:hint="eastAsia"/>
          <w:spacing w:val="-2"/>
          <w:sz w:val="32"/>
          <w:szCs w:val="32"/>
        </w:rPr>
        <w:t>制项目</w:t>
      </w:r>
      <w:proofErr w:type="gramEnd"/>
      <w:r>
        <w:rPr>
          <w:rFonts w:ascii="仿宋_GB2312" w:eastAsia="仿宋_GB2312" w:hAnsi="仿宋_GB2312" w:cs="仿宋_GB2312" w:hint="eastAsia"/>
          <w:spacing w:val="-2"/>
          <w:sz w:val="32"/>
          <w:szCs w:val="32"/>
        </w:rPr>
        <w:t>负责人（或申请人）应当根据政策相符性、目标相关性和经济合理性原则，编制项目收入预算和支出预算。</w:t>
      </w:r>
      <w:r>
        <w:rPr>
          <w:rFonts w:ascii="仿宋_GB2312" w:eastAsia="仿宋_GB2312" w:hAnsi="仿宋_GB2312" w:cs="仿宋_GB2312" w:hint="eastAsia"/>
          <w:spacing w:val="-2"/>
          <w:sz w:val="32"/>
          <w:szCs w:val="32"/>
        </w:rPr>
        <w:t xml:space="preserve"> </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收入预算应当按照从各种不同渠道获得的资金总额填列。包括自然科学基金资助的资金以及从依托单位和其他渠道获得的资金。</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支出预算应当根据项目需求，按照资金开支范围编列。直接费用中除</w:t>
      </w:r>
      <w:r>
        <w:rPr>
          <w:rFonts w:ascii="仿宋_GB2312" w:eastAsia="仿宋_GB2312" w:hAnsi="仿宋_GB2312" w:cs="仿宋_GB2312" w:hint="eastAsia"/>
          <w:spacing w:val="-2"/>
          <w:sz w:val="32"/>
          <w:szCs w:val="32"/>
        </w:rPr>
        <w:t>50</w:t>
      </w:r>
      <w:r>
        <w:rPr>
          <w:rFonts w:ascii="仿宋_GB2312" w:eastAsia="仿宋_GB2312" w:hAnsi="仿宋_GB2312" w:cs="仿宋_GB2312" w:hint="eastAsia"/>
          <w:spacing w:val="-2"/>
          <w:sz w:val="32"/>
          <w:szCs w:val="32"/>
        </w:rPr>
        <w:t>万元以上的设备费外</w:t>
      </w:r>
      <w:r>
        <w:rPr>
          <w:rFonts w:ascii="仿宋_GB2312" w:eastAsia="仿宋_GB2312" w:hAnsi="仿宋_GB2312" w:cs="仿宋_GB2312" w:hint="eastAsia"/>
          <w:spacing w:val="-2"/>
          <w:sz w:val="32"/>
          <w:szCs w:val="32"/>
        </w:rPr>
        <w:t>，其他费用只提供基本测算说明，不需要提供明细。</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第十七条</w:t>
      </w: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对于预算制项目，依托单位应当组织其科研和财务管理部门对项目预算进行审核。</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有多个单位共同承担一个项目的，依托单位的项目负责人（或申请人）和合作研究单位参与者应当根据各自承担的研究任务分别编报项目预算，经所在单位科研、财务部门审核并签署意见后，由项目负责人（或申请人）汇总编制。</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第十八条</w:t>
      </w: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预算</w:t>
      </w:r>
      <w:proofErr w:type="gramStart"/>
      <w:r>
        <w:rPr>
          <w:rFonts w:ascii="仿宋_GB2312" w:eastAsia="仿宋_GB2312" w:hAnsi="仿宋_GB2312" w:cs="仿宋_GB2312" w:hint="eastAsia"/>
          <w:spacing w:val="-2"/>
          <w:sz w:val="32"/>
          <w:szCs w:val="32"/>
        </w:rPr>
        <w:t>制项目</w:t>
      </w:r>
      <w:proofErr w:type="gramEnd"/>
      <w:r>
        <w:rPr>
          <w:rFonts w:ascii="仿宋_GB2312" w:eastAsia="仿宋_GB2312" w:hAnsi="仿宋_GB2312" w:cs="仿宋_GB2312" w:hint="eastAsia"/>
          <w:spacing w:val="-2"/>
          <w:sz w:val="32"/>
          <w:szCs w:val="32"/>
        </w:rPr>
        <w:t>申请人申请自然科学基金项目，应当按照本办法中对于直接费用的规定编制项目预算，经依托单位审核后提交自然科学基金委。</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第十九</w:t>
      </w:r>
      <w:r>
        <w:rPr>
          <w:rFonts w:ascii="黑体" w:eastAsia="黑体" w:hAnsi="黑体" w:cs="黑体" w:hint="eastAsia"/>
          <w:spacing w:val="-2"/>
          <w:sz w:val="32"/>
          <w:szCs w:val="32"/>
        </w:rPr>
        <w:t>条</w:t>
      </w: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自然科学基金委组织专家或者择优遴选第三方对预算</w:t>
      </w:r>
      <w:proofErr w:type="gramStart"/>
      <w:r>
        <w:rPr>
          <w:rFonts w:ascii="仿宋_GB2312" w:eastAsia="仿宋_GB2312" w:hAnsi="仿宋_GB2312" w:cs="仿宋_GB2312" w:hint="eastAsia"/>
          <w:spacing w:val="-2"/>
          <w:sz w:val="32"/>
          <w:szCs w:val="32"/>
        </w:rPr>
        <w:t>制项目</w:t>
      </w:r>
      <w:proofErr w:type="gramEnd"/>
      <w:r>
        <w:rPr>
          <w:rFonts w:ascii="仿宋_GB2312" w:eastAsia="仿宋_GB2312" w:hAnsi="仿宋_GB2312" w:cs="仿宋_GB2312" w:hint="eastAsia"/>
          <w:spacing w:val="-2"/>
          <w:sz w:val="32"/>
          <w:szCs w:val="32"/>
        </w:rPr>
        <w:t>进行项目评审并同步开展预算评审</w:t>
      </w:r>
      <w:r>
        <w:rPr>
          <w:rFonts w:ascii="仿宋_GB2312" w:eastAsia="仿宋_GB2312" w:hAnsi="仿宋_GB2312" w:cs="仿宋_GB2312" w:hint="eastAsia"/>
          <w:spacing w:val="-2"/>
          <w:sz w:val="32"/>
          <w:szCs w:val="32"/>
        </w:rPr>
        <w:t>,</w:t>
      </w:r>
      <w:r>
        <w:rPr>
          <w:rFonts w:ascii="仿宋_GB2312" w:eastAsia="仿宋_GB2312" w:hAnsi="仿宋_GB2312" w:cs="仿宋_GB2312" w:hint="eastAsia"/>
          <w:spacing w:val="-2"/>
          <w:sz w:val="32"/>
          <w:szCs w:val="32"/>
        </w:rPr>
        <w:t>根据项目实际需求确定预算。评审专家应满足相关回避要求。</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预算评审应当按照规范的程序和要求，坚持独立、客观、</w:t>
      </w:r>
      <w:r>
        <w:rPr>
          <w:rFonts w:ascii="仿宋_GB2312" w:eastAsia="仿宋_GB2312" w:hAnsi="仿宋_GB2312" w:cs="仿宋_GB2312" w:hint="eastAsia"/>
          <w:spacing w:val="-2"/>
          <w:sz w:val="32"/>
          <w:szCs w:val="32"/>
        </w:rPr>
        <w:lastRenderedPageBreak/>
        <w:t>公正、科学的原则，对项目申报预算的政策相符性、目标相关性和经济合理性进行评审。不得将预算编制细致程度作为评审预算的因素，不得简单按比例核减预算。</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第二十条</w:t>
      </w: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依托单位应当组织预算</w:t>
      </w:r>
      <w:proofErr w:type="gramStart"/>
      <w:r>
        <w:rPr>
          <w:rFonts w:ascii="仿宋_GB2312" w:eastAsia="仿宋_GB2312" w:hAnsi="仿宋_GB2312" w:cs="仿宋_GB2312" w:hint="eastAsia"/>
          <w:spacing w:val="-2"/>
          <w:sz w:val="32"/>
          <w:szCs w:val="32"/>
        </w:rPr>
        <w:t>制项目</w:t>
      </w:r>
      <w:proofErr w:type="gramEnd"/>
      <w:r>
        <w:rPr>
          <w:rFonts w:ascii="仿宋_GB2312" w:eastAsia="仿宋_GB2312" w:hAnsi="仿宋_GB2312" w:cs="仿宋_GB2312" w:hint="eastAsia"/>
          <w:spacing w:val="-2"/>
          <w:sz w:val="32"/>
          <w:szCs w:val="32"/>
        </w:rPr>
        <w:t>负责人根据批准的项目资助额度，按规定调整项目预算，并在收到资助通知之日起</w:t>
      </w:r>
      <w:r>
        <w:rPr>
          <w:rFonts w:ascii="仿宋_GB2312" w:eastAsia="仿宋_GB2312" w:hAnsi="仿宋_GB2312" w:cs="仿宋_GB2312" w:hint="eastAsia"/>
          <w:spacing w:val="-2"/>
          <w:sz w:val="32"/>
          <w:szCs w:val="32"/>
        </w:rPr>
        <w:t>20</w:t>
      </w:r>
      <w:r>
        <w:rPr>
          <w:rFonts w:ascii="仿宋_GB2312" w:eastAsia="仿宋_GB2312" w:hAnsi="仿宋_GB2312" w:cs="仿宋_GB2312" w:hint="eastAsia"/>
          <w:spacing w:val="-2"/>
          <w:sz w:val="32"/>
          <w:szCs w:val="32"/>
        </w:rPr>
        <w:t>日内完成审核，报自然科学基金委核准。</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第二十一条</w:t>
      </w: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预算</w:t>
      </w:r>
      <w:proofErr w:type="gramStart"/>
      <w:r>
        <w:rPr>
          <w:rFonts w:ascii="仿宋_GB2312" w:eastAsia="仿宋_GB2312" w:hAnsi="仿宋_GB2312" w:cs="仿宋_GB2312" w:hint="eastAsia"/>
          <w:spacing w:val="-2"/>
          <w:sz w:val="32"/>
          <w:szCs w:val="32"/>
        </w:rPr>
        <w:t>制项目</w:t>
      </w:r>
      <w:proofErr w:type="gramEnd"/>
      <w:r>
        <w:rPr>
          <w:rFonts w:ascii="仿宋_GB2312" w:eastAsia="仿宋_GB2312" w:hAnsi="仿宋_GB2312" w:cs="仿宋_GB2312" w:hint="eastAsia"/>
          <w:spacing w:val="-2"/>
          <w:sz w:val="32"/>
          <w:szCs w:val="32"/>
        </w:rPr>
        <w:t>的直接费用应当纳入依托单位财务统一管理，单独核算，专款专用。</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预算</w:t>
      </w:r>
      <w:proofErr w:type="gramStart"/>
      <w:r>
        <w:rPr>
          <w:rFonts w:ascii="仿宋_GB2312" w:eastAsia="仿宋_GB2312" w:hAnsi="仿宋_GB2312" w:cs="仿宋_GB2312" w:hint="eastAsia"/>
          <w:spacing w:val="-2"/>
          <w:sz w:val="32"/>
          <w:szCs w:val="32"/>
        </w:rPr>
        <w:t>制项目</w:t>
      </w:r>
      <w:proofErr w:type="gramEnd"/>
      <w:r>
        <w:rPr>
          <w:rFonts w:ascii="仿宋_GB2312" w:eastAsia="仿宋_GB2312" w:hAnsi="仿宋_GB2312" w:cs="仿宋_GB2312" w:hint="eastAsia"/>
          <w:spacing w:val="-2"/>
          <w:sz w:val="32"/>
          <w:szCs w:val="32"/>
        </w:rPr>
        <w:t>的间接费用由依托单位统筹安排使用。依托单位应当建立健全间接费用的内部管理办法，公开透明、合</w:t>
      </w:r>
      <w:proofErr w:type="gramStart"/>
      <w:r>
        <w:rPr>
          <w:rFonts w:ascii="仿宋_GB2312" w:eastAsia="仿宋_GB2312" w:hAnsi="仿宋_GB2312" w:cs="仿宋_GB2312" w:hint="eastAsia"/>
          <w:spacing w:val="-2"/>
          <w:sz w:val="32"/>
          <w:szCs w:val="32"/>
        </w:rPr>
        <w:t>规</w:t>
      </w:r>
      <w:proofErr w:type="gramEnd"/>
      <w:r>
        <w:rPr>
          <w:rFonts w:ascii="仿宋_GB2312" w:eastAsia="仿宋_GB2312" w:hAnsi="仿宋_GB2312" w:cs="仿宋_GB2312" w:hint="eastAsia"/>
          <w:spacing w:val="-2"/>
          <w:sz w:val="32"/>
          <w:szCs w:val="32"/>
        </w:rPr>
        <w:t>合理使用间接费用，处理好分摊间接成本和对科研人员激励的关系。绩效支出安排应当与科研人员在项目工作中的实际贡献挂钩。依托单位可将间接费用全部用于绩效支出，并向创新绩效</w:t>
      </w:r>
      <w:r>
        <w:rPr>
          <w:rFonts w:ascii="仿宋_GB2312" w:eastAsia="仿宋_GB2312" w:hAnsi="仿宋_GB2312" w:cs="仿宋_GB2312" w:hint="eastAsia"/>
          <w:spacing w:val="-2"/>
          <w:sz w:val="32"/>
          <w:szCs w:val="32"/>
        </w:rPr>
        <w:t>突出的团队和个人倾斜。依托单位不得在间接费用以外，再以任何名义在项目资金中重复提取、列支相关费用。</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 xml:space="preserve">  </w:t>
      </w:r>
      <w:r>
        <w:rPr>
          <w:rFonts w:ascii="黑体" w:eastAsia="黑体" w:hAnsi="黑体" w:cs="黑体" w:hint="eastAsia"/>
          <w:spacing w:val="-2"/>
          <w:sz w:val="32"/>
          <w:szCs w:val="32"/>
        </w:rPr>
        <w:t>第二十二条</w:t>
      </w: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预算</w:t>
      </w:r>
      <w:proofErr w:type="gramStart"/>
      <w:r>
        <w:rPr>
          <w:rFonts w:ascii="仿宋_GB2312" w:eastAsia="仿宋_GB2312" w:hAnsi="仿宋_GB2312" w:cs="仿宋_GB2312" w:hint="eastAsia"/>
          <w:spacing w:val="-2"/>
          <w:sz w:val="32"/>
          <w:szCs w:val="32"/>
        </w:rPr>
        <w:t>制项目</w:t>
      </w:r>
      <w:proofErr w:type="gramEnd"/>
      <w:r>
        <w:rPr>
          <w:rFonts w:ascii="仿宋_GB2312" w:eastAsia="仿宋_GB2312" w:hAnsi="仿宋_GB2312" w:cs="仿宋_GB2312" w:hint="eastAsia"/>
          <w:spacing w:val="-2"/>
          <w:sz w:val="32"/>
          <w:szCs w:val="32"/>
        </w:rPr>
        <w:t>的间接费用一般按照不超过项目直接费用扣除设备购置费后的一定比例核定，并实行总额控制，具体比例如下：</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（一）</w:t>
      </w:r>
      <w:r>
        <w:rPr>
          <w:rFonts w:ascii="仿宋_GB2312" w:eastAsia="仿宋_GB2312" w:hAnsi="仿宋_GB2312" w:cs="仿宋_GB2312" w:hint="eastAsia"/>
          <w:spacing w:val="-2"/>
          <w:sz w:val="32"/>
          <w:szCs w:val="32"/>
        </w:rPr>
        <w:t>500</w:t>
      </w:r>
      <w:r>
        <w:rPr>
          <w:rFonts w:ascii="仿宋_GB2312" w:eastAsia="仿宋_GB2312" w:hAnsi="仿宋_GB2312" w:cs="仿宋_GB2312" w:hint="eastAsia"/>
          <w:spacing w:val="-2"/>
          <w:sz w:val="32"/>
          <w:szCs w:val="32"/>
        </w:rPr>
        <w:t>万元及以下部分为</w:t>
      </w:r>
      <w:r>
        <w:rPr>
          <w:rFonts w:ascii="仿宋_GB2312" w:eastAsia="仿宋_GB2312" w:hAnsi="仿宋_GB2312" w:cs="仿宋_GB2312" w:hint="eastAsia"/>
          <w:spacing w:val="-2"/>
          <w:sz w:val="32"/>
          <w:szCs w:val="32"/>
        </w:rPr>
        <w:t>30%</w:t>
      </w:r>
      <w:r>
        <w:rPr>
          <w:rFonts w:ascii="仿宋_GB2312" w:eastAsia="仿宋_GB2312" w:hAnsi="仿宋_GB2312" w:cs="仿宋_GB2312" w:hint="eastAsia"/>
          <w:spacing w:val="-2"/>
          <w:sz w:val="32"/>
          <w:szCs w:val="32"/>
        </w:rPr>
        <w:t>；</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（二）超过</w:t>
      </w:r>
      <w:r>
        <w:rPr>
          <w:rFonts w:ascii="仿宋_GB2312" w:eastAsia="仿宋_GB2312" w:hAnsi="仿宋_GB2312" w:cs="仿宋_GB2312" w:hint="eastAsia"/>
          <w:spacing w:val="-2"/>
          <w:sz w:val="32"/>
          <w:szCs w:val="32"/>
        </w:rPr>
        <w:t>500</w:t>
      </w:r>
      <w:r>
        <w:rPr>
          <w:rFonts w:ascii="仿宋_GB2312" w:eastAsia="仿宋_GB2312" w:hAnsi="仿宋_GB2312" w:cs="仿宋_GB2312" w:hint="eastAsia"/>
          <w:spacing w:val="-2"/>
          <w:sz w:val="32"/>
          <w:szCs w:val="32"/>
        </w:rPr>
        <w:t>万元至</w:t>
      </w:r>
      <w:r>
        <w:rPr>
          <w:rFonts w:ascii="仿宋_GB2312" w:eastAsia="仿宋_GB2312" w:hAnsi="仿宋_GB2312" w:cs="仿宋_GB2312" w:hint="eastAsia"/>
          <w:spacing w:val="-2"/>
          <w:sz w:val="32"/>
          <w:szCs w:val="32"/>
        </w:rPr>
        <w:t>1000</w:t>
      </w:r>
      <w:r>
        <w:rPr>
          <w:rFonts w:ascii="仿宋_GB2312" w:eastAsia="仿宋_GB2312" w:hAnsi="仿宋_GB2312" w:cs="仿宋_GB2312" w:hint="eastAsia"/>
          <w:spacing w:val="-2"/>
          <w:sz w:val="32"/>
          <w:szCs w:val="32"/>
        </w:rPr>
        <w:t>万元的部分为</w:t>
      </w:r>
      <w:r>
        <w:rPr>
          <w:rFonts w:ascii="仿宋_GB2312" w:eastAsia="仿宋_GB2312" w:hAnsi="仿宋_GB2312" w:cs="仿宋_GB2312" w:hint="eastAsia"/>
          <w:spacing w:val="-2"/>
          <w:sz w:val="32"/>
          <w:szCs w:val="32"/>
        </w:rPr>
        <w:t>25%</w:t>
      </w:r>
      <w:r>
        <w:rPr>
          <w:rFonts w:ascii="仿宋_GB2312" w:eastAsia="仿宋_GB2312" w:hAnsi="仿宋_GB2312" w:cs="仿宋_GB2312" w:hint="eastAsia"/>
          <w:spacing w:val="-2"/>
          <w:sz w:val="32"/>
          <w:szCs w:val="32"/>
        </w:rPr>
        <w:t>；</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（三）超过</w:t>
      </w:r>
      <w:r>
        <w:rPr>
          <w:rFonts w:ascii="仿宋_GB2312" w:eastAsia="仿宋_GB2312" w:hAnsi="仿宋_GB2312" w:cs="仿宋_GB2312" w:hint="eastAsia"/>
          <w:spacing w:val="-2"/>
          <w:sz w:val="32"/>
          <w:szCs w:val="32"/>
        </w:rPr>
        <w:t>1000</w:t>
      </w:r>
      <w:r>
        <w:rPr>
          <w:rFonts w:ascii="仿宋_GB2312" w:eastAsia="仿宋_GB2312" w:hAnsi="仿宋_GB2312" w:cs="仿宋_GB2312" w:hint="eastAsia"/>
          <w:spacing w:val="-2"/>
          <w:sz w:val="32"/>
          <w:szCs w:val="32"/>
        </w:rPr>
        <w:t>万元的部分为</w:t>
      </w:r>
      <w:r>
        <w:rPr>
          <w:rFonts w:ascii="仿宋_GB2312" w:eastAsia="仿宋_GB2312" w:hAnsi="仿宋_GB2312" w:cs="仿宋_GB2312" w:hint="eastAsia"/>
          <w:spacing w:val="-2"/>
          <w:sz w:val="32"/>
          <w:szCs w:val="32"/>
        </w:rPr>
        <w:t>20%</w:t>
      </w:r>
      <w:r>
        <w:rPr>
          <w:rFonts w:ascii="仿宋_GB2312" w:eastAsia="仿宋_GB2312" w:hAnsi="仿宋_GB2312" w:cs="仿宋_GB2312" w:hint="eastAsia"/>
          <w:spacing w:val="-2"/>
          <w:sz w:val="32"/>
          <w:szCs w:val="32"/>
        </w:rPr>
        <w:t>。</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其中，对于数学等纯理论基础研究的预算制项目，间接</w:t>
      </w:r>
      <w:r>
        <w:rPr>
          <w:rFonts w:ascii="仿宋_GB2312" w:eastAsia="仿宋_GB2312" w:hAnsi="仿宋_GB2312" w:cs="仿宋_GB2312" w:hint="eastAsia"/>
          <w:spacing w:val="-2"/>
          <w:sz w:val="32"/>
          <w:szCs w:val="32"/>
        </w:rPr>
        <w:lastRenderedPageBreak/>
        <w:t>费用一般按照不超过项目直接费用扣除设备购置费后的一定比例核定，并实行总额控制，具体比例如下：</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（一）</w:t>
      </w:r>
      <w:r>
        <w:rPr>
          <w:rFonts w:ascii="仿宋_GB2312" w:eastAsia="仿宋_GB2312" w:hAnsi="仿宋_GB2312" w:cs="仿宋_GB2312" w:hint="eastAsia"/>
          <w:spacing w:val="-2"/>
          <w:sz w:val="32"/>
          <w:szCs w:val="32"/>
        </w:rPr>
        <w:t>500</w:t>
      </w:r>
      <w:r>
        <w:rPr>
          <w:rFonts w:ascii="仿宋_GB2312" w:eastAsia="仿宋_GB2312" w:hAnsi="仿宋_GB2312" w:cs="仿宋_GB2312" w:hint="eastAsia"/>
          <w:spacing w:val="-2"/>
          <w:sz w:val="32"/>
          <w:szCs w:val="32"/>
        </w:rPr>
        <w:t>万元及以下部分为</w:t>
      </w:r>
      <w:r>
        <w:rPr>
          <w:rFonts w:ascii="仿宋_GB2312" w:eastAsia="仿宋_GB2312" w:hAnsi="仿宋_GB2312" w:cs="仿宋_GB2312" w:hint="eastAsia"/>
          <w:spacing w:val="-2"/>
          <w:sz w:val="32"/>
          <w:szCs w:val="32"/>
        </w:rPr>
        <w:t>60%</w:t>
      </w:r>
      <w:r>
        <w:rPr>
          <w:rFonts w:ascii="仿宋_GB2312" w:eastAsia="仿宋_GB2312" w:hAnsi="仿宋_GB2312" w:cs="仿宋_GB2312" w:hint="eastAsia"/>
          <w:spacing w:val="-2"/>
          <w:sz w:val="32"/>
          <w:szCs w:val="32"/>
        </w:rPr>
        <w:t>；</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（二）超过</w:t>
      </w:r>
      <w:r>
        <w:rPr>
          <w:rFonts w:ascii="仿宋_GB2312" w:eastAsia="仿宋_GB2312" w:hAnsi="仿宋_GB2312" w:cs="仿宋_GB2312" w:hint="eastAsia"/>
          <w:spacing w:val="-2"/>
          <w:sz w:val="32"/>
          <w:szCs w:val="32"/>
        </w:rPr>
        <w:t>500</w:t>
      </w:r>
      <w:r>
        <w:rPr>
          <w:rFonts w:ascii="仿宋_GB2312" w:eastAsia="仿宋_GB2312" w:hAnsi="仿宋_GB2312" w:cs="仿宋_GB2312" w:hint="eastAsia"/>
          <w:spacing w:val="-2"/>
          <w:sz w:val="32"/>
          <w:szCs w:val="32"/>
        </w:rPr>
        <w:t>万元至</w:t>
      </w:r>
      <w:r>
        <w:rPr>
          <w:rFonts w:ascii="仿宋_GB2312" w:eastAsia="仿宋_GB2312" w:hAnsi="仿宋_GB2312" w:cs="仿宋_GB2312" w:hint="eastAsia"/>
          <w:spacing w:val="-2"/>
          <w:sz w:val="32"/>
          <w:szCs w:val="32"/>
        </w:rPr>
        <w:t>1000</w:t>
      </w:r>
      <w:r>
        <w:rPr>
          <w:rFonts w:ascii="仿宋_GB2312" w:eastAsia="仿宋_GB2312" w:hAnsi="仿宋_GB2312" w:cs="仿宋_GB2312" w:hint="eastAsia"/>
          <w:spacing w:val="-2"/>
          <w:sz w:val="32"/>
          <w:szCs w:val="32"/>
        </w:rPr>
        <w:t>万元的部分为</w:t>
      </w:r>
      <w:r>
        <w:rPr>
          <w:rFonts w:ascii="仿宋_GB2312" w:eastAsia="仿宋_GB2312" w:hAnsi="仿宋_GB2312" w:cs="仿宋_GB2312" w:hint="eastAsia"/>
          <w:spacing w:val="-2"/>
          <w:sz w:val="32"/>
          <w:szCs w:val="32"/>
        </w:rPr>
        <w:t>50%</w:t>
      </w:r>
      <w:r>
        <w:rPr>
          <w:rFonts w:ascii="仿宋_GB2312" w:eastAsia="仿宋_GB2312" w:hAnsi="仿宋_GB2312" w:cs="仿宋_GB2312" w:hint="eastAsia"/>
          <w:spacing w:val="-2"/>
          <w:sz w:val="32"/>
          <w:szCs w:val="32"/>
        </w:rPr>
        <w:t>；</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（三）超过</w:t>
      </w:r>
      <w:r>
        <w:rPr>
          <w:rFonts w:ascii="仿宋_GB2312" w:eastAsia="仿宋_GB2312" w:hAnsi="仿宋_GB2312" w:cs="仿宋_GB2312" w:hint="eastAsia"/>
          <w:spacing w:val="-2"/>
          <w:sz w:val="32"/>
          <w:szCs w:val="32"/>
        </w:rPr>
        <w:t>1000</w:t>
      </w:r>
      <w:r>
        <w:rPr>
          <w:rFonts w:ascii="仿宋_GB2312" w:eastAsia="仿宋_GB2312" w:hAnsi="仿宋_GB2312" w:cs="仿宋_GB2312" w:hint="eastAsia"/>
          <w:spacing w:val="-2"/>
          <w:sz w:val="32"/>
          <w:szCs w:val="32"/>
        </w:rPr>
        <w:t>万元的部分为</w:t>
      </w:r>
      <w:r>
        <w:rPr>
          <w:rFonts w:ascii="仿宋_GB2312" w:eastAsia="仿宋_GB2312" w:hAnsi="仿宋_GB2312" w:cs="仿宋_GB2312" w:hint="eastAsia"/>
          <w:spacing w:val="-2"/>
          <w:sz w:val="32"/>
          <w:szCs w:val="32"/>
        </w:rPr>
        <w:t>40%</w:t>
      </w:r>
      <w:r>
        <w:rPr>
          <w:rFonts w:ascii="仿宋_GB2312" w:eastAsia="仿宋_GB2312" w:hAnsi="仿宋_GB2312" w:cs="仿宋_GB2312" w:hint="eastAsia"/>
          <w:spacing w:val="-2"/>
          <w:sz w:val="32"/>
          <w:szCs w:val="32"/>
        </w:rPr>
        <w:t>。</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第二十三条</w:t>
      </w: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预算</w:t>
      </w:r>
      <w:proofErr w:type="gramStart"/>
      <w:r>
        <w:rPr>
          <w:rFonts w:ascii="仿宋_GB2312" w:eastAsia="仿宋_GB2312" w:hAnsi="仿宋_GB2312" w:cs="仿宋_GB2312" w:hint="eastAsia"/>
          <w:spacing w:val="-2"/>
          <w:sz w:val="32"/>
          <w:szCs w:val="32"/>
        </w:rPr>
        <w:t>制项目</w:t>
      </w:r>
      <w:proofErr w:type="gramEnd"/>
      <w:r>
        <w:rPr>
          <w:rFonts w:ascii="仿宋_GB2312" w:eastAsia="仿宋_GB2312" w:hAnsi="仿宋_GB2312" w:cs="仿宋_GB2312" w:hint="eastAsia"/>
          <w:spacing w:val="-2"/>
          <w:sz w:val="32"/>
          <w:szCs w:val="32"/>
        </w:rPr>
        <w:t>实施过程中，项目预算有以下情况确需调剂的，应当按相关程序报自然科学基金委审批。</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（一）由于研究内容或者研究计划</w:t>
      </w:r>
      <w:proofErr w:type="gramStart"/>
      <w:r>
        <w:rPr>
          <w:rFonts w:ascii="仿宋_GB2312" w:eastAsia="仿宋_GB2312" w:hAnsi="仿宋_GB2312" w:cs="仿宋_GB2312" w:hint="eastAsia"/>
          <w:spacing w:val="-2"/>
          <w:sz w:val="32"/>
          <w:szCs w:val="32"/>
        </w:rPr>
        <w:t>作出</w:t>
      </w:r>
      <w:proofErr w:type="gramEnd"/>
      <w:r>
        <w:rPr>
          <w:rFonts w:ascii="仿宋_GB2312" w:eastAsia="仿宋_GB2312" w:hAnsi="仿宋_GB2312" w:cs="仿宋_GB2312" w:hint="eastAsia"/>
          <w:spacing w:val="-2"/>
          <w:sz w:val="32"/>
          <w:szCs w:val="32"/>
        </w:rPr>
        <w:t>重大调整等原因需要对预算总额进行调剂的；</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（二</w:t>
      </w:r>
      <w:r>
        <w:rPr>
          <w:rFonts w:ascii="仿宋_GB2312" w:eastAsia="仿宋_GB2312" w:hAnsi="仿宋_GB2312" w:cs="仿宋_GB2312" w:hint="eastAsia"/>
          <w:spacing w:val="-2"/>
          <w:sz w:val="32"/>
          <w:szCs w:val="32"/>
        </w:rPr>
        <w:t>）同一项目课题之间资金需要调剂的。</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第二十四条</w:t>
      </w: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预算</w:t>
      </w:r>
      <w:proofErr w:type="gramStart"/>
      <w:r>
        <w:rPr>
          <w:rFonts w:ascii="仿宋_GB2312" w:eastAsia="仿宋_GB2312" w:hAnsi="仿宋_GB2312" w:cs="仿宋_GB2312" w:hint="eastAsia"/>
          <w:spacing w:val="-2"/>
          <w:sz w:val="32"/>
          <w:szCs w:val="32"/>
        </w:rPr>
        <w:t>制项目</w:t>
      </w:r>
      <w:proofErr w:type="gramEnd"/>
      <w:r>
        <w:rPr>
          <w:rFonts w:ascii="仿宋_GB2312" w:eastAsia="仿宋_GB2312" w:hAnsi="仿宋_GB2312" w:cs="仿宋_GB2312" w:hint="eastAsia"/>
          <w:spacing w:val="-2"/>
          <w:sz w:val="32"/>
          <w:szCs w:val="32"/>
        </w:rPr>
        <w:t>实施过程中，在项目预算额度不变的情况下，预算确需调剂的，按以下规定予以调剂：</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（一）设备费预算如需调剂，由项目负责人根据科研活动的实际需要提出申请，报依托单位审批。依托单位应当统筹考虑现有设备配置情况、科研项目实际需求等，及时办理调剂手续。</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（二）劳务费、业务费预算如需调剂，由项目负责人根据科研活动实际需要自主安排。</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（三）项目间接费用预算总额不得调增，依托单位与项目负责人协商一致后可调减用于直接费用。</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 xml:space="preserve"> </w:t>
      </w:r>
      <w:r>
        <w:rPr>
          <w:rFonts w:ascii="黑体" w:eastAsia="黑体" w:hAnsi="黑体" w:cs="黑体" w:hint="eastAsia"/>
          <w:spacing w:val="-2"/>
          <w:sz w:val="32"/>
          <w:szCs w:val="32"/>
        </w:rPr>
        <w:t>第二</w:t>
      </w:r>
      <w:r>
        <w:rPr>
          <w:rFonts w:ascii="黑体" w:eastAsia="黑体" w:hAnsi="黑体" w:cs="黑体" w:hint="eastAsia"/>
          <w:spacing w:val="-2"/>
          <w:sz w:val="32"/>
          <w:szCs w:val="32"/>
        </w:rPr>
        <w:t>十五条</w:t>
      </w: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对于需开展中期项目检查的预算制项目，可由自然科学基金委组织专家同步对资金的使用进行检查或评估。</w:t>
      </w:r>
    </w:p>
    <w:p w:rsidR="00027FAB" w:rsidRDefault="00027FAB">
      <w:pPr>
        <w:widowControl/>
        <w:spacing w:line="560" w:lineRule="exact"/>
        <w:ind w:firstLineChars="179" w:firstLine="575"/>
        <w:rPr>
          <w:rFonts w:ascii="仿宋_GB2312" w:eastAsia="仿宋_GB2312"/>
          <w:b/>
          <w:sz w:val="32"/>
          <w:szCs w:val="32"/>
        </w:rPr>
      </w:pPr>
    </w:p>
    <w:p w:rsidR="00027FAB" w:rsidRDefault="0005738E">
      <w:pPr>
        <w:widowControl/>
        <w:spacing w:afterLines="50" w:after="156" w:line="560" w:lineRule="exact"/>
        <w:jc w:val="center"/>
        <w:rPr>
          <w:rFonts w:ascii="黑体" w:eastAsia="黑体" w:hAnsi="Arial" w:cs="Arial"/>
          <w:bCs/>
          <w:color w:val="000000"/>
          <w:kern w:val="0"/>
          <w:sz w:val="32"/>
          <w:szCs w:val="32"/>
        </w:rPr>
      </w:pPr>
      <w:r>
        <w:rPr>
          <w:rFonts w:ascii="黑体" w:eastAsia="黑体" w:hAnsi="Arial" w:cs="Arial" w:hint="eastAsia"/>
          <w:bCs/>
          <w:color w:val="000000"/>
          <w:kern w:val="0"/>
          <w:sz w:val="32"/>
          <w:szCs w:val="32"/>
        </w:rPr>
        <w:t>第五章</w:t>
      </w:r>
      <w:r>
        <w:rPr>
          <w:rFonts w:ascii="黑体" w:eastAsia="黑体" w:hAnsi="Arial" w:cs="Arial" w:hint="eastAsia"/>
          <w:bCs/>
          <w:color w:val="000000"/>
          <w:kern w:val="0"/>
          <w:sz w:val="32"/>
          <w:szCs w:val="32"/>
        </w:rPr>
        <w:t xml:space="preserve">  </w:t>
      </w:r>
      <w:r>
        <w:rPr>
          <w:rFonts w:ascii="黑体" w:eastAsia="黑体" w:hAnsi="Arial" w:cs="Arial" w:hint="eastAsia"/>
          <w:bCs/>
          <w:color w:val="000000"/>
          <w:kern w:val="0"/>
          <w:sz w:val="32"/>
          <w:szCs w:val="32"/>
        </w:rPr>
        <w:t>预算执行与决算</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第二十六条</w:t>
      </w: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自然科学基金委应当按照国库集中支付制度规定，根据不同类型科研项目特点、研究进度、资金需求等，合理制定经费拨付计划并在资助项目计划</w:t>
      </w:r>
      <w:proofErr w:type="gramStart"/>
      <w:r>
        <w:rPr>
          <w:rFonts w:ascii="仿宋_GB2312" w:eastAsia="仿宋_GB2312" w:hAnsi="仿宋_GB2312" w:cs="仿宋_GB2312" w:hint="eastAsia"/>
          <w:spacing w:val="-2"/>
          <w:sz w:val="32"/>
          <w:szCs w:val="32"/>
        </w:rPr>
        <w:t>书签订</w:t>
      </w:r>
      <w:proofErr w:type="gramEnd"/>
      <w:r>
        <w:rPr>
          <w:rFonts w:ascii="仿宋_GB2312" w:eastAsia="仿宋_GB2312" w:hAnsi="仿宋_GB2312" w:cs="仿宋_GB2312" w:hint="eastAsia"/>
          <w:spacing w:val="-2"/>
          <w:sz w:val="32"/>
          <w:szCs w:val="32"/>
        </w:rPr>
        <w:t>后</w:t>
      </w:r>
      <w:r>
        <w:rPr>
          <w:rFonts w:ascii="仿宋_GB2312" w:eastAsia="仿宋_GB2312" w:hAnsi="仿宋_GB2312" w:cs="仿宋_GB2312" w:hint="eastAsia"/>
          <w:spacing w:val="-2"/>
          <w:sz w:val="32"/>
          <w:szCs w:val="32"/>
        </w:rPr>
        <w:t>30</w:t>
      </w:r>
      <w:r>
        <w:rPr>
          <w:rFonts w:ascii="仿宋_GB2312" w:eastAsia="仿宋_GB2312" w:hAnsi="仿宋_GB2312" w:cs="仿宋_GB2312" w:hint="eastAsia"/>
          <w:spacing w:val="-2"/>
          <w:sz w:val="32"/>
          <w:szCs w:val="32"/>
        </w:rPr>
        <w:t>日内，将经费按计划拨付至依托单位，切实保障科研活动需要。</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有多个单位共同承担一个项目的，依托单位应当及时按资助项目计划书和合同转拨合作研究单位资金，并加强对转拨资金的监督管理。</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项目负责人应当结合科研</w:t>
      </w:r>
      <w:r>
        <w:rPr>
          <w:rFonts w:ascii="仿宋_GB2312" w:eastAsia="仿宋_GB2312" w:hAnsi="仿宋_GB2312" w:cs="仿宋_GB2312" w:hint="eastAsia"/>
          <w:spacing w:val="-2"/>
          <w:sz w:val="32"/>
          <w:szCs w:val="32"/>
        </w:rPr>
        <w:t>活动需要，科学合理安排项目资金支出进度。依托单位应当关注项目资金执行进度，有效提高资金使用效益。</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第二十七条</w:t>
      </w: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项目资金管理使用不得存在以下行为：</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（一）编报虚假预算；</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（二）未对项目资金进行单独核算；</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（三）列支与本项目任务无关的支出；</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（四）未按规定执行和调剂预算、违反规定转拨项目资金；</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（五）虚假承诺其他来源资金；</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（六）通过虚假合同、虚假票据、虚构事项、虚报人员等弄虚作假，转移、套取、报销项目资金；</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（七）截留、挤占、挪用项目资金；</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（八）设置账外账、随意调账变动支出、随意修改</w:t>
      </w:r>
      <w:hyperlink r:id="rId7" w:tgtFrame="http://emuch.net/html/201505/_blank" w:history="1">
        <w:r>
          <w:rPr>
            <w:rFonts w:ascii="仿宋_GB2312" w:eastAsia="仿宋_GB2312" w:hAnsi="仿宋_GB2312" w:cs="仿宋_GB2312" w:hint="eastAsia"/>
            <w:spacing w:val="-2"/>
            <w:sz w:val="32"/>
            <w:szCs w:val="32"/>
          </w:rPr>
          <w:t>记账</w:t>
        </w:r>
      </w:hyperlink>
      <w:r>
        <w:rPr>
          <w:rFonts w:ascii="仿宋_GB2312" w:eastAsia="仿宋_GB2312" w:hAnsi="仿宋_GB2312" w:cs="仿宋_GB2312" w:hint="eastAsia"/>
          <w:spacing w:val="-2"/>
          <w:sz w:val="32"/>
          <w:szCs w:val="32"/>
        </w:rPr>
        <w:t>凭证、提供虚</w:t>
      </w:r>
      <w:r>
        <w:rPr>
          <w:rFonts w:ascii="仿宋_GB2312" w:eastAsia="仿宋_GB2312" w:hAnsi="仿宋_GB2312" w:cs="仿宋_GB2312" w:hint="eastAsia"/>
          <w:spacing w:val="-2"/>
          <w:sz w:val="32"/>
          <w:szCs w:val="32"/>
        </w:rPr>
        <w:t>假财务会计资料等；</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（九）使用项目资金列支应当由个人负担的有关费用和支付各种罚款、捐款、赞助、投资、偿还债务等；</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（十）其他违反国家财经纪律的行为。</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第二十八条</w:t>
      </w: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项目资助期满后，项目负责人应当会同科研、财务、资产等管理部门及时清理账目与资产，如实编制项目决算。</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有多个单位共同承担一个项目的，依托单位的项目负责人和合作研究单位的参与者应当分别编报项目决算，经所在单位科研、财务管理部门审核并签署意见后，由依托单位项目负责人汇总编制。</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依托单位应当组织其科研、财务管理部门</w:t>
      </w:r>
      <w:r>
        <w:rPr>
          <w:rFonts w:ascii="仿宋_GB2312" w:eastAsia="仿宋_GB2312" w:hAnsi="仿宋_GB2312" w:cs="仿宋_GB2312" w:hint="eastAsia"/>
          <w:spacing w:val="-2"/>
          <w:sz w:val="32"/>
          <w:szCs w:val="32"/>
        </w:rPr>
        <w:t>审核项目决算，并签署意见后报自然科学基金委。</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第二十九条</w:t>
      </w: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自然科学基金委准予结题的项目，结余资金留归依</w:t>
      </w:r>
      <w:proofErr w:type="gramStart"/>
      <w:r>
        <w:rPr>
          <w:rFonts w:ascii="仿宋_GB2312" w:eastAsia="仿宋_GB2312" w:hAnsi="仿宋_GB2312" w:cs="仿宋_GB2312" w:hint="eastAsia"/>
          <w:spacing w:val="-2"/>
          <w:sz w:val="32"/>
          <w:szCs w:val="32"/>
        </w:rPr>
        <w:t>托单位</w:t>
      </w:r>
      <w:proofErr w:type="gramEnd"/>
      <w:r>
        <w:rPr>
          <w:rFonts w:ascii="仿宋_GB2312" w:eastAsia="仿宋_GB2312" w:hAnsi="仿宋_GB2312" w:cs="仿宋_GB2312" w:hint="eastAsia"/>
          <w:spacing w:val="-2"/>
          <w:sz w:val="32"/>
          <w:szCs w:val="32"/>
        </w:rPr>
        <w:t>使用。依托单位应当将结余资金统筹安排用于基础研究直接支出，优先考虑原项目团队科研需求，并加强结余资金管理，健全结余资金盘活机制，加快资金使用进度。</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自然科学基金委不予结题的项目，依托单位应当负责将结余资金在通知书下达后</w:t>
      </w:r>
      <w:r>
        <w:rPr>
          <w:rFonts w:ascii="仿宋_GB2312" w:eastAsia="仿宋_GB2312" w:hAnsi="仿宋_GB2312" w:cs="仿宋_GB2312" w:hint="eastAsia"/>
          <w:spacing w:val="-2"/>
          <w:sz w:val="32"/>
          <w:szCs w:val="32"/>
        </w:rPr>
        <w:t>30</w:t>
      </w:r>
      <w:r>
        <w:rPr>
          <w:rFonts w:ascii="仿宋_GB2312" w:eastAsia="仿宋_GB2312" w:hAnsi="仿宋_GB2312" w:cs="仿宋_GB2312" w:hint="eastAsia"/>
          <w:spacing w:val="-2"/>
          <w:sz w:val="32"/>
          <w:szCs w:val="32"/>
        </w:rPr>
        <w:t>日内按原渠道退回自然科学基金委。</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第三十条</w:t>
      </w: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项目实施过程中，因故终止执行的项目，依托单位应当负责将结余资金按原渠道退回自然科学基金委。</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lastRenderedPageBreak/>
        <w:t xml:space="preserve">    </w:t>
      </w:r>
      <w:r>
        <w:rPr>
          <w:rFonts w:ascii="仿宋_GB2312" w:eastAsia="仿宋_GB2312" w:hAnsi="仿宋_GB2312" w:cs="仿宋_GB2312" w:hint="eastAsia"/>
          <w:spacing w:val="-2"/>
          <w:sz w:val="32"/>
          <w:szCs w:val="32"/>
        </w:rPr>
        <w:t>因故被依法</w:t>
      </w:r>
      <w:r>
        <w:rPr>
          <w:rFonts w:ascii="仿宋_GB2312" w:eastAsia="仿宋_GB2312" w:hAnsi="仿宋_GB2312" w:cs="仿宋_GB2312" w:hint="eastAsia"/>
          <w:spacing w:val="-2"/>
          <w:sz w:val="32"/>
          <w:szCs w:val="32"/>
        </w:rPr>
        <w:t>撤销的项目，依托单位应当负责将已拨付的资金全部按原渠道退回自然科学基金委。</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依托单位发生变更的项目，原依托单位应当及时向新依托单位转拨需转拨的项目资金。</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 xml:space="preserve"> </w:t>
      </w:r>
      <w:r>
        <w:rPr>
          <w:rFonts w:ascii="黑体" w:eastAsia="黑体" w:hAnsi="黑体" w:cs="黑体" w:hint="eastAsia"/>
          <w:spacing w:val="-2"/>
          <w:sz w:val="32"/>
          <w:szCs w:val="32"/>
        </w:rPr>
        <w:t>第三十一条</w:t>
      </w: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依托单位应当严格执行国家有关支出管理制度。对应当实行“公务卡”结算的支出，按照中央财政科研项目使用公务卡结算的有关规定执行。对于设备、大宗材料、测试化验加工、劳务、专家咨询等费用，原则上应当通过银行转账方式结算。</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 xml:space="preserve"> </w:t>
      </w:r>
      <w:r>
        <w:rPr>
          <w:rFonts w:ascii="黑体" w:eastAsia="黑体" w:hAnsi="黑体" w:cs="黑体" w:hint="eastAsia"/>
          <w:spacing w:val="-2"/>
          <w:sz w:val="32"/>
          <w:szCs w:val="32"/>
        </w:rPr>
        <w:t>第三十二条</w:t>
      </w: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在项目实施过程中，依托单位因科研活动实际需要，邀请国内外专家、学者和有关人员参加由其主办的会</w:t>
      </w:r>
      <w:r>
        <w:rPr>
          <w:rFonts w:ascii="仿宋_GB2312" w:eastAsia="仿宋_GB2312" w:hAnsi="仿宋_GB2312" w:cs="仿宋_GB2312" w:hint="eastAsia"/>
          <w:spacing w:val="-2"/>
          <w:sz w:val="32"/>
          <w:szCs w:val="32"/>
        </w:rPr>
        <w:t>议等，对确需负担的城市间交通费、国际旅费，可在会议费等费用中报销。对国内差旅费中的伙食补助费、市内交通费和难以取得发票的住宿费可实行包干制。对野外考察、心理测试等科研活动中无法取得发票或者财政性票据的，在确保真实性的前提下，可按实际发生额予以报销。</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第三十三条</w:t>
      </w: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依托单位应当优化和完善内部管理规定，简化科研仪器设备采购流程。对科研急需的设备和耗材采用</w:t>
      </w:r>
      <w:proofErr w:type="gramStart"/>
      <w:r>
        <w:rPr>
          <w:rFonts w:ascii="仿宋_GB2312" w:eastAsia="仿宋_GB2312" w:hAnsi="仿宋_GB2312" w:cs="仿宋_GB2312" w:hint="eastAsia"/>
          <w:spacing w:val="-2"/>
          <w:sz w:val="32"/>
          <w:szCs w:val="32"/>
        </w:rPr>
        <w:t>特</w:t>
      </w:r>
      <w:proofErr w:type="gramEnd"/>
      <w:r>
        <w:rPr>
          <w:rFonts w:ascii="仿宋_GB2312" w:eastAsia="仿宋_GB2312" w:hAnsi="仿宋_GB2312" w:cs="仿宋_GB2312" w:hint="eastAsia"/>
          <w:spacing w:val="-2"/>
          <w:sz w:val="32"/>
          <w:szCs w:val="32"/>
        </w:rPr>
        <w:t>事特办、随到随办的采购机制，可以不进行招标投标程序。</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项目实施过程中，行政事业单位使用项目资金形成的固定资产属于国有资产，应当按照国家有关国有</w:t>
      </w:r>
      <w:r>
        <w:rPr>
          <w:rFonts w:ascii="仿宋_GB2312" w:eastAsia="仿宋_GB2312" w:hAnsi="仿宋_GB2312" w:cs="仿宋_GB2312" w:hint="eastAsia"/>
          <w:spacing w:val="-2"/>
          <w:sz w:val="32"/>
          <w:szCs w:val="32"/>
        </w:rPr>
        <w:t>资产管理的规定执行。企业使用项目资金形成的固定资产，按照《企业财务通则》等相关规章制度执行。项目资金形成的知识产权等</w:t>
      </w:r>
      <w:r>
        <w:rPr>
          <w:rFonts w:ascii="仿宋_GB2312" w:eastAsia="仿宋_GB2312" w:hAnsi="仿宋_GB2312" w:cs="仿宋_GB2312" w:hint="eastAsia"/>
          <w:spacing w:val="-2"/>
          <w:sz w:val="32"/>
          <w:szCs w:val="32"/>
        </w:rPr>
        <w:lastRenderedPageBreak/>
        <w:t>无形资产的管理，按照国家有关规定执行。使用项目资金形成的大型科学仪器设备、科学数据、自然科技资源等，按照规定开放共享。</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第三十四条</w:t>
      </w: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依托单位要切实强化法人责任，制定内部管理办法，落实项目预算调剂、间接费用统筹使用、劳务费管理、结余资金使用等管理权限。</w:t>
      </w:r>
    </w:p>
    <w:p w:rsidR="00027FAB" w:rsidRDefault="0005738E">
      <w:pPr>
        <w:pStyle w:val="a5"/>
        <w:autoSpaceDE w:val="0"/>
        <w:autoSpaceDN w:val="0"/>
        <w:adjustRightInd w:val="0"/>
        <w:snapToGrid w:val="0"/>
        <w:spacing w:line="588" w:lineRule="atLeast"/>
        <w:rPr>
          <w:rFonts w:ascii="仿宋_GB2312" w:eastAsia="仿宋_GB2312"/>
          <w:sz w:val="32"/>
          <w:szCs w:val="32"/>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第三十五条</w:t>
      </w: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依托单位应当创新服务方式，让科研人员潜心从事科学研究。应当全面落实科研财务助理制度，确保每个项目配有相对固定的科</w:t>
      </w:r>
      <w:r>
        <w:rPr>
          <w:rFonts w:ascii="仿宋_GB2312" w:eastAsia="仿宋_GB2312" w:hAnsi="仿宋_GB2312" w:cs="仿宋_GB2312" w:hint="eastAsia"/>
          <w:spacing w:val="-2"/>
          <w:sz w:val="32"/>
          <w:szCs w:val="32"/>
        </w:rPr>
        <w:t>研财务助理，为科研人员在预算编制、经费报销等方面提供专业化服务。科研财务助理所需人力成本费用（含社会保险补助、住房公积金），可由依托单位根据情况通过科研项目经费等渠道统筹解决。应当改进财务报销管理方式，充分利用信息化手段，建立符合科研实际需要的内部报销机制。</w:t>
      </w:r>
    </w:p>
    <w:p w:rsidR="00027FAB" w:rsidRDefault="00027FAB">
      <w:pPr>
        <w:widowControl/>
        <w:spacing w:line="560" w:lineRule="exact"/>
        <w:ind w:firstLineChars="179" w:firstLine="573"/>
        <w:rPr>
          <w:rFonts w:ascii="仿宋_GB2312" w:eastAsia="仿宋_GB2312"/>
          <w:sz w:val="32"/>
          <w:szCs w:val="32"/>
        </w:rPr>
      </w:pPr>
    </w:p>
    <w:p w:rsidR="00027FAB" w:rsidRDefault="0005738E">
      <w:pPr>
        <w:widowControl/>
        <w:spacing w:afterLines="50" w:after="156" w:line="560" w:lineRule="exact"/>
        <w:jc w:val="center"/>
        <w:rPr>
          <w:rFonts w:ascii="仿宋_GB2312" w:eastAsia="仿宋_GB2312" w:hAnsi="Arial" w:cs="Arial"/>
          <w:b/>
          <w:bCs/>
          <w:color w:val="000000"/>
          <w:sz w:val="32"/>
          <w:szCs w:val="32"/>
        </w:rPr>
      </w:pPr>
      <w:r>
        <w:rPr>
          <w:rFonts w:ascii="黑体" w:eastAsia="黑体" w:hAnsi="Arial" w:cs="Arial" w:hint="eastAsia"/>
          <w:color w:val="000000"/>
          <w:kern w:val="0"/>
          <w:sz w:val="32"/>
          <w:szCs w:val="32"/>
        </w:rPr>
        <w:t>第六章</w:t>
      </w:r>
      <w:r>
        <w:rPr>
          <w:rFonts w:ascii="黑体" w:eastAsia="黑体" w:hAnsi="Arial" w:cs="Arial" w:hint="eastAsia"/>
          <w:color w:val="000000"/>
          <w:kern w:val="0"/>
          <w:sz w:val="32"/>
          <w:szCs w:val="32"/>
        </w:rPr>
        <w:t xml:space="preserve">  </w:t>
      </w:r>
      <w:r>
        <w:rPr>
          <w:rFonts w:ascii="黑体" w:eastAsia="黑体" w:hAnsi="Arial" w:cs="Arial" w:hint="eastAsia"/>
          <w:color w:val="000000"/>
          <w:kern w:val="0"/>
          <w:sz w:val="32"/>
          <w:szCs w:val="32"/>
        </w:rPr>
        <w:t>绩效管理</w:t>
      </w:r>
      <w:r>
        <w:rPr>
          <w:rFonts w:ascii="黑体" w:eastAsia="黑体" w:hAnsi="Arial" w:cs="Arial" w:hint="eastAsia"/>
          <w:color w:val="000000"/>
          <w:kern w:val="0"/>
          <w:sz w:val="32"/>
          <w:szCs w:val="32"/>
        </w:rPr>
        <w:t>与</w:t>
      </w:r>
      <w:r>
        <w:rPr>
          <w:rFonts w:ascii="黑体" w:eastAsia="黑体" w:hAnsi="Arial" w:cs="Arial" w:hint="eastAsia"/>
          <w:color w:val="000000"/>
          <w:kern w:val="0"/>
          <w:sz w:val="32"/>
          <w:szCs w:val="32"/>
        </w:rPr>
        <w:t>监督检查</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第三十六条</w:t>
      </w: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自然科学基金委应当建立项目资金绩效管理制度，对项目资金管理使用效益进行绩效评价。进一步强化绩效导向，加强分类绩效评价，对自由探索型、任务导向型等不同类型科研项目，健全差异化的绩效评价指标体系，强化绩效评价结果运用，将绩效评价结果作为项目调整、后续支持的重要依据。</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依托单位应当切实加强绩效管理，引导科研资源向优秀</w:t>
      </w:r>
      <w:r>
        <w:rPr>
          <w:rFonts w:ascii="仿宋_GB2312" w:eastAsia="仿宋_GB2312" w:hAnsi="仿宋_GB2312" w:cs="仿宋_GB2312" w:hint="eastAsia"/>
          <w:spacing w:val="-2"/>
          <w:sz w:val="32"/>
          <w:szCs w:val="32"/>
        </w:rPr>
        <w:lastRenderedPageBreak/>
        <w:t>人才和团队倾斜，提高科研经费使用效益。</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 xml:space="preserve">  </w:t>
      </w:r>
      <w:r>
        <w:rPr>
          <w:rFonts w:ascii="黑体" w:eastAsia="黑体" w:hAnsi="黑体" w:cs="黑体" w:hint="eastAsia"/>
          <w:spacing w:val="-2"/>
          <w:sz w:val="32"/>
          <w:szCs w:val="32"/>
        </w:rPr>
        <w:t>第三十七条</w:t>
      </w:r>
      <w:r>
        <w:rPr>
          <w:rFonts w:ascii="黑体" w:eastAsia="黑体" w:hAnsi="黑体" w:cs="黑体" w:hint="eastAsia"/>
          <w:spacing w:val="-2"/>
          <w:sz w:val="32"/>
          <w:szCs w:val="32"/>
        </w:rPr>
        <w:t xml:space="preserve">  </w:t>
      </w:r>
      <w:r>
        <w:rPr>
          <w:rFonts w:ascii="仿宋_GB2312" w:eastAsia="仿宋_GB2312" w:hAnsi="仿宋_GB2312" w:cs="仿宋_GB2312" w:hint="eastAsia"/>
          <w:spacing w:val="-2"/>
          <w:sz w:val="32"/>
          <w:szCs w:val="32"/>
        </w:rPr>
        <w:t>财政部、自然科学基金委、审计署、相关主管部门、依托单位应当根据职责和分工，建立覆盖资金管理使用全过程的资金监督机制。加强审计监</w:t>
      </w:r>
      <w:r>
        <w:rPr>
          <w:rFonts w:ascii="仿宋_GB2312" w:eastAsia="仿宋_GB2312" w:hAnsi="仿宋_GB2312" w:cs="仿宋_GB2312" w:hint="eastAsia"/>
          <w:spacing w:val="-2"/>
          <w:sz w:val="32"/>
          <w:szCs w:val="32"/>
        </w:rPr>
        <w:t>督、财会监督与日常监督的贯通协调，增强监督合力，加强信息共享，避免交叉重复。</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第三十八条</w:t>
      </w: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财政部按规定对自然科学基金项目资金管理和使用情况进行监督管理。</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第三十九条</w:t>
      </w: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审计署、自然科学基金委按规定对依托单位项目资金管理和使用情况进行监督检查。依托单位和项目负责人应当积极配合并提供有关资料。</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 xml:space="preserve">  </w:t>
      </w:r>
      <w:r>
        <w:rPr>
          <w:rFonts w:ascii="黑体" w:eastAsia="黑体" w:hAnsi="黑体" w:cs="黑体" w:hint="eastAsia"/>
          <w:spacing w:val="-2"/>
          <w:sz w:val="32"/>
          <w:szCs w:val="32"/>
        </w:rPr>
        <w:t>第四十条</w:t>
      </w: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相关主管部门应当督促所属依托单位加强内控制度和监督制约机制建设、落实项目资金管理责任，配合财政部、自然科学基金委开展监督检查和整改工作。</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 xml:space="preserve"> </w:t>
      </w:r>
      <w:r>
        <w:rPr>
          <w:rFonts w:ascii="黑体" w:eastAsia="黑体" w:hAnsi="黑体" w:cs="黑体" w:hint="eastAsia"/>
          <w:spacing w:val="-2"/>
          <w:sz w:val="32"/>
          <w:szCs w:val="32"/>
        </w:rPr>
        <w:t>第四十一条</w:t>
      </w: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依托单位应当按照本办法</w:t>
      </w:r>
      <w:r>
        <w:rPr>
          <w:rFonts w:ascii="仿宋_GB2312" w:eastAsia="仿宋_GB2312" w:hAnsi="仿宋_GB2312" w:cs="仿宋_GB2312" w:hint="eastAsia"/>
          <w:spacing w:val="-2"/>
          <w:sz w:val="32"/>
          <w:szCs w:val="32"/>
        </w:rPr>
        <w:t>和国家相关财经法规及财务管理规定，完善内部控制和监督制约机制，动态监管资金使用并实时预警提醒，确保资金合理规范使用；加强支撑服务条件建设，提高对科研人员的服务水平，建立常态化的自查自纠机制，保证项目资金安全。</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第四十二条</w:t>
      </w: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项目资金管理建立承诺机制。依托单位应当承诺依法履行项目资金管理的职责。项目负责人应当承诺提供真实的项目信息，并认真遵守项目资金管理的有关规定。依托单位和项目负责人对违反承诺导致的后果承担相应责任。</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lastRenderedPageBreak/>
        <w:t xml:space="preserve">    </w:t>
      </w:r>
      <w:r>
        <w:rPr>
          <w:rFonts w:ascii="仿宋_GB2312" w:eastAsia="仿宋_GB2312" w:hAnsi="仿宋_GB2312" w:cs="仿宋_GB2312" w:hint="eastAsia"/>
          <w:spacing w:val="-2"/>
          <w:sz w:val="32"/>
          <w:szCs w:val="32"/>
        </w:rPr>
        <w:t>对依托单位和科研人员在项目资金管理使用过程中出现的失信情况，应当纳入信用记</w:t>
      </w:r>
      <w:r>
        <w:rPr>
          <w:rFonts w:ascii="仿宋_GB2312" w:eastAsia="仿宋_GB2312" w:hAnsi="仿宋_GB2312" w:cs="仿宋_GB2312" w:hint="eastAsia"/>
          <w:spacing w:val="-2"/>
          <w:sz w:val="32"/>
          <w:szCs w:val="32"/>
        </w:rPr>
        <w:t>录管理，对严重失信行为实行追责和惩戒。</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第四十三条</w:t>
      </w: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项目资金管理建立信息公开机制。自然科学基金委应当及时公开非涉密项目预算安排情况，接受社会监督。</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依托单位应当在单位内部公开非涉密项目立项、主要研究人员、资金使用（重点是间接费用、</w:t>
      </w:r>
      <w:proofErr w:type="gramStart"/>
      <w:r>
        <w:rPr>
          <w:rFonts w:ascii="仿宋_GB2312" w:eastAsia="仿宋_GB2312" w:hAnsi="仿宋_GB2312" w:cs="仿宋_GB2312" w:hint="eastAsia"/>
          <w:spacing w:val="-2"/>
          <w:sz w:val="32"/>
          <w:szCs w:val="32"/>
        </w:rPr>
        <w:t>外拨资金</w:t>
      </w:r>
      <w:proofErr w:type="gramEnd"/>
      <w:r>
        <w:rPr>
          <w:rFonts w:ascii="仿宋_GB2312" w:eastAsia="仿宋_GB2312" w:hAnsi="仿宋_GB2312" w:cs="仿宋_GB2312" w:hint="eastAsia"/>
          <w:spacing w:val="-2"/>
          <w:sz w:val="32"/>
          <w:szCs w:val="32"/>
        </w:rPr>
        <w:t>、结余资金使用等）、决算、大型仪器设备购置以及项目研究成果等情况，接受内部监督。</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第四十四条</w:t>
      </w: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任何单位和个人发现项目资金在使用和管理过程中有违规行为的，有权检举或者控告。</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第四十五条</w:t>
      </w: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财政部、自然科学基金委及其相关工作人员、评审专家在自</w:t>
      </w:r>
      <w:r>
        <w:rPr>
          <w:rFonts w:ascii="仿宋_GB2312" w:eastAsia="仿宋_GB2312" w:hAnsi="仿宋_GB2312" w:cs="仿宋_GB2312" w:hint="eastAsia"/>
          <w:spacing w:val="-2"/>
          <w:sz w:val="32"/>
          <w:szCs w:val="32"/>
        </w:rPr>
        <w:t>然科学基金预算审核环节，自然科学基金委及其相关工作人员在项目立项及其资金分配等环节，存在违反规定安排资金或其他滥用职权、玩忽职守、徇私舞弊等违法违规行为的，依法责令改正，对负有责任的领导人员和直接责任人员依法给予处分；涉嫌犯罪的，依法移送有关机关处理。</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第四十六条</w:t>
      </w: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依托单位及其相关工作人员、项目负责人及其团队成员对于资金管理使用过程中，不按规定管理和使用项目资金、不按时编报项目决算、不按规定进行会计核算，存在截留、挪用、侵占项目资金等违法违规行为的，按照《中</w:t>
      </w:r>
      <w:r>
        <w:rPr>
          <w:rFonts w:ascii="仿宋_GB2312" w:eastAsia="仿宋_GB2312" w:hAnsi="仿宋_GB2312" w:cs="仿宋_GB2312" w:hint="eastAsia"/>
          <w:spacing w:val="-2"/>
          <w:sz w:val="32"/>
          <w:szCs w:val="32"/>
        </w:rPr>
        <w:lastRenderedPageBreak/>
        <w:t>华人民共和国预算法》及其实施条例、《中华人民共和国会计法》、《国家自然科学基金条例》、《财政违法行为处罚处分条例》等国家有关规定追究相应责任。涉嫌犯罪的，依法移送有关机关处理。</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lang w:val="en"/>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第四十七条</w:t>
      </w:r>
      <w:r>
        <w:rPr>
          <w:rFonts w:ascii="黑体" w:eastAsia="黑体" w:hAnsi="黑体" w:cs="黑体" w:hint="eastAsia"/>
          <w:spacing w:val="-2"/>
          <w:sz w:val="32"/>
          <w:szCs w:val="32"/>
        </w:rPr>
        <w:t xml:space="preserve"> </w:t>
      </w: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自然科学基金委对项目资金管理、监督和检查等过程中发现的问题以及收到的投诉举报依法开展调查，并依法严肃查处违规违纪</w:t>
      </w:r>
      <w:r>
        <w:rPr>
          <w:rFonts w:ascii="仿宋_GB2312" w:eastAsia="仿宋_GB2312" w:hAnsi="仿宋_GB2312" w:cs="仿宋_GB2312" w:hint="eastAsia"/>
          <w:spacing w:val="-2"/>
          <w:sz w:val="32"/>
          <w:szCs w:val="32"/>
        </w:rPr>
        <w:t>行为。</w:t>
      </w:r>
    </w:p>
    <w:p w:rsidR="00027FAB" w:rsidRDefault="00027FAB">
      <w:pPr>
        <w:widowControl/>
        <w:spacing w:line="560" w:lineRule="exact"/>
        <w:ind w:firstLineChars="179" w:firstLine="573"/>
        <w:rPr>
          <w:rFonts w:ascii="仿宋_GB2312" w:eastAsia="仿宋_GB2312" w:hAnsi="Arial" w:cs="Arial"/>
          <w:color w:val="000000"/>
          <w:kern w:val="0"/>
          <w:sz w:val="32"/>
          <w:szCs w:val="32"/>
          <w:highlight w:val="yellow"/>
        </w:rPr>
      </w:pPr>
    </w:p>
    <w:p w:rsidR="00027FAB" w:rsidRDefault="0005738E">
      <w:pPr>
        <w:pStyle w:val="10"/>
        <w:spacing w:before="0" w:beforeAutospacing="0" w:afterLines="50" w:after="156" w:afterAutospacing="0" w:line="560" w:lineRule="exact"/>
        <w:jc w:val="center"/>
        <w:rPr>
          <w:rFonts w:ascii="黑体" w:eastAsia="黑体" w:hAnsi="Arial" w:cs="Arial"/>
          <w:color w:val="000000"/>
          <w:sz w:val="32"/>
          <w:szCs w:val="32"/>
        </w:rPr>
      </w:pPr>
      <w:r>
        <w:rPr>
          <w:rFonts w:ascii="黑体" w:eastAsia="黑体" w:hAnsi="Arial" w:cs="Arial" w:hint="eastAsia"/>
          <w:color w:val="000000"/>
          <w:sz w:val="32"/>
          <w:szCs w:val="32"/>
        </w:rPr>
        <w:t>第七章</w:t>
      </w:r>
      <w:r>
        <w:rPr>
          <w:rFonts w:ascii="黑体" w:eastAsia="黑体" w:hAnsi="Arial" w:cs="Arial" w:hint="eastAsia"/>
          <w:color w:val="000000"/>
          <w:sz w:val="32"/>
          <w:szCs w:val="32"/>
        </w:rPr>
        <w:t xml:space="preserve">  </w:t>
      </w:r>
      <w:r>
        <w:rPr>
          <w:rFonts w:ascii="黑体" w:eastAsia="黑体" w:hAnsi="Arial" w:cs="Arial" w:hint="eastAsia"/>
          <w:color w:val="000000"/>
          <w:sz w:val="32"/>
          <w:szCs w:val="32"/>
        </w:rPr>
        <w:t>附</w:t>
      </w:r>
      <w:r>
        <w:rPr>
          <w:rFonts w:ascii="黑体" w:eastAsia="黑体" w:hAnsi="Arial" w:cs="Arial" w:hint="eastAsia"/>
          <w:color w:val="000000"/>
          <w:sz w:val="32"/>
          <w:szCs w:val="32"/>
        </w:rPr>
        <w:t xml:space="preserve"> </w:t>
      </w:r>
      <w:r>
        <w:rPr>
          <w:rFonts w:ascii="黑体" w:eastAsia="黑体" w:hAnsi="Arial" w:cs="Arial" w:hint="eastAsia"/>
          <w:color w:val="000000"/>
          <w:sz w:val="32"/>
          <w:szCs w:val="32"/>
        </w:rPr>
        <w:t>则</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第四十八条</w:t>
      </w: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本办法由财政部、自然科学基金委负责解释。</w:t>
      </w:r>
    </w:p>
    <w:p w:rsidR="00027FAB" w:rsidRDefault="0005738E">
      <w:pPr>
        <w:pStyle w:val="a5"/>
        <w:autoSpaceDE w:val="0"/>
        <w:autoSpaceDN w:val="0"/>
        <w:adjustRightInd w:val="0"/>
        <w:snapToGrid w:val="0"/>
        <w:spacing w:line="588" w:lineRule="atLeast"/>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 xml:space="preserve">   </w:t>
      </w:r>
      <w:r>
        <w:rPr>
          <w:rFonts w:ascii="黑体" w:eastAsia="黑体" w:hAnsi="黑体" w:cs="黑体" w:hint="eastAsia"/>
          <w:spacing w:val="-2"/>
          <w:sz w:val="32"/>
          <w:szCs w:val="32"/>
        </w:rPr>
        <w:t xml:space="preserve"> </w:t>
      </w:r>
      <w:r>
        <w:rPr>
          <w:rFonts w:ascii="黑体" w:eastAsia="黑体" w:hAnsi="黑体" w:cs="黑体" w:hint="eastAsia"/>
          <w:spacing w:val="-2"/>
          <w:sz w:val="32"/>
          <w:szCs w:val="32"/>
        </w:rPr>
        <w:t>第四十九条</w:t>
      </w:r>
      <w:r>
        <w:rPr>
          <w:rFonts w:ascii="仿宋_GB2312" w:eastAsia="仿宋_GB2312" w:hAnsi="仿宋_GB2312" w:cs="仿宋_GB2312" w:hint="eastAsia"/>
          <w:spacing w:val="-2"/>
          <w:sz w:val="32"/>
          <w:szCs w:val="32"/>
        </w:rPr>
        <w:t xml:space="preserve">  </w:t>
      </w:r>
      <w:r>
        <w:rPr>
          <w:rFonts w:ascii="仿宋_GB2312" w:eastAsia="仿宋_GB2312" w:hAnsi="仿宋_GB2312" w:cs="仿宋_GB2312" w:hint="eastAsia"/>
          <w:spacing w:val="-2"/>
          <w:sz w:val="32"/>
          <w:szCs w:val="32"/>
        </w:rPr>
        <w:t>本办法自发布之日起施行。</w:t>
      </w:r>
    </w:p>
    <w:sectPr w:rsidR="00027FAB">
      <w:footerReference w:type="even" r:id="rId8"/>
      <w:footerReference w:type="default" r:id="rId9"/>
      <w:footerReference w:type="first" r:id="rId10"/>
      <w:pgSz w:w="11906" w:h="16838"/>
      <w:pgMar w:top="1440" w:right="1800" w:bottom="1440" w:left="1800"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738E" w:rsidRDefault="0005738E">
      <w:r>
        <w:separator/>
      </w:r>
    </w:p>
  </w:endnote>
  <w:endnote w:type="continuationSeparator" w:id="0">
    <w:p w:rsidR="0005738E" w:rsidRDefault="00057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小标宋简体">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FAB" w:rsidRDefault="0005738E">
    <w:pPr>
      <w:pStyle w:val="a8"/>
      <w:framePr w:wrap="around" w:vAnchor="text" w:hAnchor="margin" w:xAlign="center" w:y="1"/>
      <w:rPr>
        <w:rStyle w:val="1"/>
      </w:rPr>
    </w:pPr>
    <w:r>
      <w:fldChar w:fldCharType="begin"/>
    </w:r>
    <w:r>
      <w:rPr>
        <w:rStyle w:val="1"/>
      </w:rPr>
      <w:instrText xml:space="preserve">PAGE  </w:instrText>
    </w:r>
    <w:r>
      <w:fldChar w:fldCharType="separate"/>
    </w:r>
    <w:r>
      <w:rPr>
        <w:rStyle w:val="1"/>
      </w:rPr>
      <w:t>1</w:t>
    </w:r>
    <w:r>
      <w:fldChar w:fldCharType="end"/>
    </w:r>
  </w:p>
  <w:p w:rsidR="00027FAB" w:rsidRDefault="00027FAB">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020479"/>
    </w:sdtPr>
    <w:sdtEndPr/>
    <w:sdtContent>
      <w:p w:rsidR="00027FAB" w:rsidRDefault="0005738E">
        <w:pPr>
          <w:pStyle w:val="a8"/>
          <w:jc w:val="center"/>
        </w:pPr>
        <w:r>
          <w:fldChar w:fldCharType="begin"/>
        </w:r>
        <w:r>
          <w:instrText xml:space="preserve"> PAGE   \* MERGEFORMAT </w:instrText>
        </w:r>
        <w:r>
          <w:fldChar w:fldCharType="separate"/>
        </w:r>
        <w:r>
          <w:rPr>
            <w:lang w:val="zh-CN"/>
          </w:rPr>
          <w:t>12</w:t>
        </w:r>
        <w:r>
          <w:rPr>
            <w:lang w:val="zh-CN"/>
          </w:rPr>
          <w:fldChar w:fldCharType="end"/>
        </w:r>
      </w:p>
    </w:sdtContent>
  </w:sdt>
  <w:p w:rsidR="00027FAB" w:rsidRDefault="00027FAB">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020480"/>
    </w:sdtPr>
    <w:sdtEndPr/>
    <w:sdtContent>
      <w:p w:rsidR="00027FAB" w:rsidRDefault="0005738E">
        <w:pPr>
          <w:pStyle w:val="a8"/>
          <w:jc w:val="center"/>
        </w:pPr>
        <w:r>
          <w:fldChar w:fldCharType="begin"/>
        </w:r>
        <w:r>
          <w:instrText xml:space="preserve"> PAGE   \* MERGEFORMAT </w:instrText>
        </w:r>
        <w:r>
          <w:fldChar w:fldCharType="separate"/>
        </w:r>
        <w:r>
          <w:rPr>
            <w:lang w:val="zh-CN"/>
          </w:rPr>
          <w:t>1</w:t>
        </w:r>
        <w:r>
          <w:rPr>
            <w:lang w:val="zh-CN"/>
          </w:rPr>
          <w:fldChar w:fldCharType="end"/>
        </w:r>
      </w:p>
    </w:sdtContent>
  </w:sdt>
  <w:p w:rsidR="00027FAB" w:rsidRDefault="00027FA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738E" w:rsidRDefault="0005738E">
      <w:r>
        <w:separator/>
      </w:r>
    </w:p>
  </w:footnote>
  <w:footnote w:type="continuationSeparator" w:id="0">
    <w:p w:rsidR="0005738E" w:rsidRDefault="000573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0"/>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8FEB82AC"/>
    <w:rsid w:val="9F7F3221"/>
    <w:rsid w:val="A973A39E"/>
    <w:rsid w:val="AFFF157A"/>
    <w:rsid w:val="B35B9AF8"/>
    <w:rsid w:val="B6FD857B"/>
    <w:rsid w:val="BB7FC632"/>
    <w:rsid w:val="BD33D627"/>
    <w:rsid w:val="BDECC2F3"/>
    <w:rsid w:val="BEE6B701"/>
    <w:rsid w:val="BF7CE6A0"/>
    <w:rsid w:val="BFEB5384"/>
    <w:rsid w:val="BFEF53F0"/>
    <w:rsid w:val="D1BB98EA"/>
    <w:rsid w:val="D37C5CCD"/>
    <w:rsid w:val="D5EB7C15"/>
    <w:rsid w:val="D6DB4F77"/>
    <w:rsid w:val="D9CFFF6C"/>
    <w:rsid w:val="DC792ED7"/>
    <w:rsid w:val="DF6F644F"/>
    <w:rsid w:val="DFEA533B"/>
    <w:rsid w:val="E57E25E6"/>
    <w:rsid w:val="E9FF83B0"/>
    <w:rsid w:val="EDBD9CC0"/>
    <w:rsid w:val="EE7CCC2C"/>
    <w:rsid w:val="EED74ACB"/>
    <w:rsid w:val="EF576A35"/>
    <w:rsid w:val="EF8FC11B"/>
    <w:rsid w:val="EFBD2D8E"/>
    <w:rsid w:val="EFEE4C53"/>
    <w:rsid w:val="F36F8912"/>
    <w:rsid w:val="F3DF02F5"/>
    <w:rsid w:val="F5DF787E"/>
    <w:rsid w:val="F666EF84"/>
    <w:rsid w:val="F6BB7DA0"/>
    <w:rsid w:val="F7658BD9"/>
    <w:rsid w:val="F9520368"/>
    <w:rsid w:val="F9FE506E"/>
    <w:rsid w:val="FABB4D10"/>
    <w:rsid w:val="FB5F2883"/>
    <w:rsid w:val="FB775B34"/>
    <w:rsid w:val="FB7F5B1B"/>
    <w:rsid w:val="FBDD4CCD"/>
    <w:rsid w:val="FBDF3B40"/>
    <w:rsid w:val="FBDFF8FF"/>
    <w:rsid w:val="FBEFA42D"/>
    <w:rsid w:val="FCEB37CD"/>
    <w:rsid w:val="FCEECFE0"/>
    <w:rsid w:val="FD78AF6E"/>
    <w:rsid w:val="FDDEE048"/>
    <w:rsid w:val="FDF512A4"/>
    <w:rsid w:val="FDFF8725"/>
    <w:rsid w:val="FEF70681"/>
    <w:rsid w:val="FF5F1D10"/>
    <w:rsid w:val="FF7D0D12"/>
    <w:rsid w:val="FFBF36C9"/>
    <w:rsid w:val="FFCF98E5"/>
    <w:rsid w:val="FFDF8EE7"/>
    <w:rsid w:val="FFF5DDEA"/>
    <w:rsid w:val="FFF79918"/>
    <w:rsid w:val="00002975"/>
    <w:rsid w:val="00003809"/>
    <w:rsid w:val="00005248"/>
    <w:rsid w:val="000059D7"/>
    <w:rsid w:val="00005C24"/>
    <w:rsid w:val="0000646A"/>
    <w:rsid w:val="000067D5"/>
    <w:rsid w:val="0001036E"/>
    <w:rsid w:val="00014340"/>
    <w:rsid w:val="00014351"/>
    <w:rsid w:val="00015456"/>
    <w:rsid w:val="0002192B"/>
    <w:rsid w:val="00021986"/>
    <w:rsid w:val="000220A5"/>
    <w:rsid w:val="00022BD1"/>
    <w:rsid w:val="00027FAB"/>
    <w:rsid w:val="00035D4C"/>
    <w:rsid w:val="00036F1F"/>
    <w:rsid w:val="00043822"/>
    <w:rsid w:val="0004532F"/>
    <w:rsid w:val="000472E6"/>
    <w:rsid w:val="00054145"/>
    <w:rsid w:val="0005583C"/>
    <w:rsid w:val="0005738E"/>
    <w:rsid w:val="00060620"/>
    <w:rsid w:val="00066763"/>
    <w:rsid w:val="0007332D"/>
    <w:rsid w:val="00074014"/>
    <w:rsid w:val="00074117"/>
    <w:rsid w:val="00075FE5"/>
    <w:rsid w:val="00076FEB"/>
    <w:rsid w:val="00084AC8"/>
    <w:rsid w:val="000856A4"/>
    <w:rsid w:val="00090B5E"/>
    <w:rsid w:val="000912C5"/>
    <w:rsid w:val="00092293"/>
    <w:rsid w:val="00093BF9"/>
    <w:rsid w:val="00097F6C"/>
    <w:rsid w:val="000A64D8"/>
    <w:rsid w:val="000A7243"/>
    <w:rsid w:val="000B5F61"/>
    <w:rsid w:val="000B7B85"/>
    <w:rsid w:val="000C3990"/>
    <w:rsid w:val="000C673C"/>
    <w:rsid w:val="000D2EAE"/>
    <w:rsid w:val="000D5D42"/>
    <w:rsid w:val="000D5D57"/>
    <w:rsid w:val="000D5FB0"/>
    <w:rsid w:val="000E2A45"/>
    <w:rsid w:val="000E406F"/>
    <w:rsid w:val="000E53AB"/>
    <w:rsid w:val="000F5859"/>
    <w:rsid w:val="000F6124"/>
    <w:rsid w:val="000F70FA"/>
    <w:rsid w:val="001104DF"/>
    <w:rsid w:val="00110AAA"/>
    <w:rsid w:val="00113B8A"/>
    <w:rsid w:val="00114476"/>
    <w:rsid w:val="00123A86"/>
    <w:rsid w:val="00133A96"/>
    <w:rsid w:val="00136F72"/>
    <w:rsid w:val="0014342E"/>
    <w:rsid w:val="00151A2D"/>
    <w:rsid w:val="00152130"/>
    <w:rsid w:val="001607CD"/>
    <w:rsid w:val="00165653"/>
    <w:rsid w:val="00166723"/>
    <w:rsid w:val="0017288A"/>
    <w:rsid w:val="00172A27"/>
    <w:rsid w:val="00174D1F"/>
    <w:rsid w:val="001751FA"/>
    <w:rsid w:val="00175D55"/>
    <w:rsid w:val="001809C2"/>
    <w:rsid w:val="001825E8"/>
    <w:rsid w:val="00183FD3"/>
    <w:rsid w:val="00193385"/>
    <w:rsid w:val="001934F1"/>
    <w:rsid w:val="00194993"/>
    <w:rsid w:val="001A578E"/>
    <w:rsid w:val="001B098E"/>
    <w:rsid w:val="001B0BAC"/>
    <w:rsid w:val="001C08AD"/>
    <w:rsid w:val="001C22FB"/>
    <w:rsid w:val="001C3288"/>
    <w:rsid w:val="001C4A4C"/>
    <w:rsid w:val="001D35CA"/>
    <w:rsid w:val="001D35DA"/>
    <w:rsid w:val="001D3B2E"/>
    <w:rsid w:val="001D4AD2"/>
    <w:rsid w:val="001D5B4D"/>
    <w:rsid w:val="001D7F90"/>
    <w:rsid w:val="001E0702"/>
    <w:rsid w:val="001E1F41"/>
    <w:rsid w:val="001E21B9"/>
    <w:rsid w:val="001E5B15"/>
    <w:rsid w:val="001E5E7D"/>
    <w:rsid w:val="001F0127"/>
    <w:rsid w:val="001F1CD3"/>
    <w:rsid w:val="001F37AA"/>
    <w:rsid w:val="001F3E3E"/>
    <w:rsid w:val="001F4259"/>
    <w:rsid w:val="001F5540"/>
    <w:rsid w:val="00200579"/>
    <w:rsid w:val="002025CF"/>
    <w:rsid w:val="00205596"/>
    <w:rsid w:val="00210115"/>
    <w:rsid w:val="00211004"/>
    <w:rsid w:val="00221B75"/>
    <w:rsid w:val="002234B2"/>
    <w:rsid w:val="002237C1"/>
    <w:rsid w:val="00224F59"/>
    <w:rsid w:val="00226971"/>
    <w:rsid w:val="00233D9E"/>
    <w:rsid w:val="00237BC1"/>
    <w:rsid w:val="002428FD"/>
    <w:rsid w:val="002433C1"/>
    <w:rsid w:val="00243462"/>
    <w:rsid w:val="00244CB1"/>
    <w:rsid w:val="00245CA4"/>
    <w:rsid w:val="00246624"/>
    <w:rsid w:val="00257F48"/>
    <w:rsid w:val="00263AEF"/>
    <w:rsid w:val="00271417"/>
    <w:rsid w:val="002741C4"/>
    <w:rsid w:val="00277A8D"/>
    <w:rsid w:val="00280F91"/>
    <w:rsid w:val="002811D8"/>
    <w:rsid w:val="0028164F"/>
    <w:rsid w:val="00281DBB"/>
    <w:rsid w:val="00284CA2"/>
    <w:rsid w:val="00290251"/>
    <w:rsid w:val="0029163C"/>
    <w:rsid w:val="00294F5D"/>
    <w:rsid w:val="002952C3"/>
    <w:rsid w:val="0029641D"/>
    <w:rsid w:val="002A5D3B"/>
    <w:rsid w:val="002A6816"/>
    <w:rsid w:val="002A6DBD"/>
    <w:rsid w:val="002A767A"/>
    <w:rsid w:val="002C05E0"/>
    <w:rsid w:val="002D079C"/>
    <w:rsid w:val="002D0A4B"/>
    <w:rsid w:val="002D2F3C"/>
    <w:rsid w:val="002D498F"/>
    <w:rsid w:val="002D5416"/>
    <w:rsid w:val="002E24D2"/>
    <w:rsid w:val="002E62B8"/>
    <w:rsid w:val="002F21CB"/>
    <w:rsid w:val="002F3584"/>
    <w:rsid w:val="002F468E"/>
    <w:rsid w:val="002F63E6"/>
    <w:rsid w:val="00303299"/>
    <w:rsid w:val="00311E27"/>
    <w:rsid w:val="00312047"/>
    <w:rsid w:val="00313701"/>
    <w:rsid w:val="00314B5B"/>
    <w:rsid w:val="00316B93"/>
    <w:rsid w:val="0032242F"/>
    <w:rsid w:val="0032293D"/>
    <w:rsid w:val="00322C36"/>
    <w:rsid w:val="00324A42"/>
    <w:rsid w:val="00335311"/>
    <w:rsid w:val="00335DE4"/>
    <w:rsid w:val="003370C6"/>
    <w:rsid w:val="0033765B"/>
    <w:rsid w:val="003417DD"/>
    <w:rsid w:val="00343522"/>
    <w:rsid w:val="00355A08"/>
    <w:rsid w:val="00360D05"/>
    <w:rsid w:val="0036157F"/>
    <w:rsid w:val="0037435B"/>
    <w:rsid w:val="003752FE"/>
    <w:rsid w:val="003810CC"/>
    <w:rsid w:val="00386A50"/>
    <w:rsid w:val="00387C1A"/>
    <w:rsid w:val="003947AD"/>
    <w:rsid w:val="0039565B"/>
    <w:rsid w:val="003A0878"/>
    <w:rsid w:val="003A1EBA"/>
    <w:rsid w:val="003A301F"/>
    <w:rsid w:val="003A35A6"/>
    <w:rsid w:val="003A5318"/>
    <w:rsid w:val="003A7EF4"/>
    <w:rsid w:val="003B062C"/>
    <w:rsid w:val="003B1579"/>
    <w:rsid w:val="003B25C7"/>
    <w:rsid w:val="003C022D"/>
    <w:rsid w:val="003C4683"/>
    <w:rsid w:val="003D0D50"/>
    <w:rsid w:val="003D3315"/>
    <w:rsid w:val="003E547F"/>
    <w:rsid w:val="003E675E"/>
    <w:rsid w:val="003F1758"/>
    <w:rsid w:val="003F2198"/>
    <w:rsid w:val="003F2F1B"/>
    <w:rsid w:val="003F314C"/>
    <w:rsid w:val="003F4FBC"/>
    <w:rsid w:val="00401534"/>
    <w:rsid w:val="00402DF7"/>
    <w:rsid w:val="00403076"/>
    <w:rsid w:val="00403B32"/>
    <w:rsid w:val="004044BB"/>
    <w:rsid w:val="00406D79"/>
    <w:rsid w:val="004133DC"/>
    <w:rsid w:val="004153FE"/>
    <w:rsid w:val="00422065"/>
    <w:rsid w:val="0042530A"/>
    <w:rsid w:val="00437285"/>
    <w:rsid w:val="0043731C"/>
    <w:rsid w:val="00441C02"/>
    <w:rsid w:val="004447D0"/>
    <w:rsid w:val="00444C18"/>
    <w:rsid w:val="00447E44"/>
    <w:rsid w:val="0045065C"/>
    <w:rsid w:val="0045612C"/>
    <w:rsid w:val="00456BF1"/>
    <w:rsid w:val="00457237"/>
    <w:rsid w:val="0045724B"/>
    <w:rsid w:val="00463792"/>
    <w:rsid w:val="0046450B"/>
    <w:rsid w:val="0046786F"/>
    <w:rsid w:val="00470900"/>
    <w:rsid w:val="0047188B"/>
    <w:rsid w:val="004726B2"/>
    <w:rsid w:val="00475179"/>
    <w:rsid w:val="004800E0"/>
    <w:rsid w:val="00481FFA"/>
    <w:rsid w:val="004838E0"/>
    <w:rsid w:val="004865B8"/>
    <w:rsid w:val="004A3F1F"/>
    <w:rsid w:val="004B343F"/>
    <w:rsid w:val="004B46F5"/>
    <w:rsid w:val="004C3418"/>
    <w:rsid w:val="004C595B"/>
    <w:rsid w:val="004D1E9D"/>
    <w:rsid w:val="004D22A8"/>
    <w:rsid w:val="004D3607"/>
    <w:rsid w:val="004E4671"/>
    <w:rsid w:val="004F1E69"/>
    <w:rsid w:val="004F3261"/>
    <w:rsid w:val="004F5047"/>
    <w:rsid w:val="004F5D0C"/>
    <w:rsid w:val="00502F91"/>
    <w:rsid w:val="00503E8E"/>
    <w:rsid w:val="00506C1E"/>
    <w:rsid w:val="00507958"/>
    <w:rsid w:val="00515414"/>
    <w:rsid w:val="00516BD6"/>
    <w:rsid w:val="00520013"/>
    <w:rsid w:val="00531F52"/>
    <w:rsid w:val="005342E5"/>
    <w:rsid w:val="005369F5"/>
    <w:rsid w:val="005411FB"/>
    <w:rsid w:val="0054325E"/>
    <w:rsid w:val="00553CC1"/>
    <w:rsid w:val="00556806"/>
    <w:rsid w:val="00557E59"/>
    <w:rsid w:val="00567BF9"/>
    <w:rsid w:val="0057048C"/>
    <w:rsid w:val="0057422D"/>
    <w:rsid w:val="00575FA0"/>
    <w:rsid w:val="0057668A"/>
    <w:rsid w:val="00582A8A"/>
    <w:rsid w:val="00591292"/>
    <w:rsid w:val="00593303"/>
    <w:rsid w:val="00593C54"/>
    <w:rsid w:val="005A3E5A"/>
    <w:rsid w:val="005A4A5C"/>
    <w:rsid w:val="005A588B"/>
    <w:rsid w:val="005A6D94"/>
    <w:rsid w:val="005B559A"/>
    <w:rsid w:val="005B7073"/>
    <w:rsid w:val="005B7EA4"/>
    <w:rsid w:val="005C4AF4"/>
    <w:rsid w:val="005C522F"/>
    <w:rsid w:val="005C761C"/>
    <w:rsid w:val="005C7C91"/>
    <w:rsid w:val="005D330C"/>
    <w:rsid w:val="005D3687"/>
    <w:rsid w:val="005D4290"/>
    <w:rsid w:val="005D5E69"/>
    <w:rsid w:val="005D6394"/>
    <w:rsid w:val="005E169B"/>
    <w:rsid w:val="005E579B"/>
    <w:rsid w:val="005E5FFA"/>
    <w:rsid w:val="005F22BD"/>
    <w:rsid w:val="005F2839"/>
    <w:rsid w:val="005F449C"/>
    <w:rsid w:val="00601B43"/>
    <w:rsid w:val="00603701"/>
    <w:rsid w:val="00607A96"/>
    <w:rsid w:val="006113F7"/>
    <w:rsid w:val="00617F65"/>
    <w:rsid w:val="0062294F"/>
    <w:rsid w:val="00625D8D"/>
    <w:rsid w:val="006332A4"/>
    <w:rsid w:val="00634B89"/>
    <w:rsid w:val="00636FD7"/>
    <w:rsid w:val="00641E99"/>
    <w:rsid w:val="006468C2"/>
    <w:rsid w:val="00652A37"/>
    <w:rsid w:val="0065631E"/>
    <w:rsid w:val="006639B4"/>
    <w:rsid w:val="0067003B"/>
    <w:rsid w:val="0067219B"/>
    <w:rsid w:val="00675CB5"/>
    <w:rsid w:val="00675FF2"/>
    <w:rsid w:val="0067642F"/>
    <w:rsid w:val="00684D54"/>
    <w:rsid w:val="00685A1C"/>
    <w:rsid w:val="00693A2A"/>
    <w:rsid w:val="00695456"/>
    <w:rsid w:val="0069672E"/>
    <w:rsid w:val="006A0259"/>
    <w:rsid w:val="006A2493"/>
    <w:rsid w:val="006A24CC"/>
    <w:rsid w:val="006A2CE0"/>
    <w:rsid w:val="006B1AAE"/>
    <w:rsid w:val="006C60C9"/>
    <w:rsid w:val="006D07BC"/>
    <w:rsid w:val="006D741F"/>
    <w:rsid w:val="006E43DF"/>
    <w:rsid w:val="006E5786"/>
    <w:rsid w:val="006E6D74"/>
    <w:rsid w:val="006E7FFD"/>
    <w:rsid w:val="006F2873"/>
    <w:rsid w:val="007010A5"/>
    <w:rsid w:val="00706E2F"/>
    <w:rsid w:val="00711AEE"/>
    <w:rsid w:val="0071411C"/>
    <w:rsid w:val="00714A0A"/>
    <w:rsid w:val="00721F49"/>
    <w:rsid w:val="00727414"/>
    <w:rsid w:val="007332E2"/>
    <w:rsid w:val="00735AC6"/>
    <w:rsid w:val="007408CE"/>
    <w:rsid w:val="007412AA"/>
    <w:rsid w:val="007412F9"/>
    <w:rsid w:val="007445B3"/>
    <w:rsid w:val="0076088B"/>
    <w:rsid w:val="00763248"/>
    <w:rsid w:val="00765250"/>
    <w:rsid w:val="0076584F"/>
    <w:rsid w:val="0077197F"/>
    <w:rsid w:val="00772B98"/>
    <w:rsid w:val="00774CDC"/>
    <w:rsid w:val="00777483"/>
    <w:rsid w:val="00780F55"/>
    <w:rsid w:val="00781F06"/>
    <w:rsid w:val="00782387"/>
    <w:rsid w:val="00784050"/>
    <w:rsid w:val="0078497F"/>
    <w:rsid w:val="00792A99"/>
    <w:rsid w:val="007954EA"/>
    <w:rsid w:val="00796B2B"/>
    <w:rsid w:val="007A529E"/>
    <w:rsid w:val="007A78DB"/>
    <w:rsid w:val="007B2548"/>
    <w:rsid w:val="007B3498"/>
    <w:rsid w:val="007B559A"/>
    <w:rsid w:val="007B6356"/>
    <w:rsid w:val="007C0E8F"/>
    <w:rsid w:val="007C3A2D"/>
    <w:rsid w:val="007C3DDC"/>
    <w:rsid w:val="007C5F88"/>
    <w:rsid w:val="007D0AA7"/>
    <w:rsid w:val="007D55EF"/>
    <w:rsid w:val="007E1F04"/>
    <w:rsid w:val="007E319E"/>
    <w:rsid w:val="007E5287"/>
    <w:rsid w:val="007F25DA"/>
    <w:rsid w:val="007F5B7F"/>
    <w:rsid w:val="00800B2D"/>
    <w:rsid w:val="00801589"/>
    <w:rsid w:val="0080259E"/>
    <w:rsid w:val="00803E94"/>
    <w:rsid w:val="00812EB7"/>
    <w:rsid w:val="00812F79"/>
    <w:rsid w:val="00813753"/>
    <w:rsid w:val="0081589C"/>
    <w:rsid w:val="00816942"/>
    <w:rsid w:val="00816C8D"/>
    <w:rsid w:val="008176E9"/>
    <w:rsid w:val="00820E2E"/>
    <w:rsid w:val="008230B7"/>
    <w:rsid w:val="008262B7"/>
    <w:rsid w:val="00827355"/>
    <w:rsid w:val="00827488"/>
    <w:rsid w:val="008333E0"/>
    <w:rsid w:val="00834234"/>
    <w:rsid w:val="0083529A"/>
    <w:rsid w:val="00835A1F"/>
    <w:rsid w:val="00837E19"/>
    <w:rsid w:val="0084097B"/>
    <w:rsid w:val="00843539"/>
    <w:rsid w:val="008467EA"/>
    <w:rsid w:val="00853693"/>
    <w:rsid w:val="00854006"/>
    <w:rsid w:val="0085474F"/>
    <w:rsid w:val="00855B34"/>
    <w:rsid w:val="00857F33"/>
    <w:rsid w:val="008618CB"/>
    <w:rsid w:val="00862C9D"/>
    <w:rsid w:val="00863BAF"/>
    <w:rsid w:val="0087017B"/>
    <w:rsid w:val="00870DC8"/>
    <w:rsid w:val="008741E7"/>
    <w:rsid w:val="008745D2"/>
    <w:rsid w:val="00881C09"/>
    <w:rsid w:val="008851CB"/>
    <w:rsid w:val="00897367"/>
    <w:rsid w:val="00897BD8"/>
    <w:rsid w:val="008B1849"/>
    <w:rsid w:val="008C1BE7"/>
    <w:rsid w:val="008C2EF0"/>
    <w:rsid w:val="008D0A53"/>
    <w:rsid w:val="008D12FC"/>
    <w:rsid w:val="008D41D6"/>
    <w:rsid w:val="008E0EF5"/>
    <w:rsid w:val="008F09B6"/>
    <w:rsid w:val="008F2EF3"/>
    <w:rsid w:val="008F3A26"/>
    <w:rsid w:val="008F71EA"/>
    <w:rsid w:val="00902242"/>
    <w:rsid w:val="00904B54"/>
    <w:rsid w:val="00913ACA"/>
    <w:rsid w:val="00921DEE"/>
    <w:rsid w:val="009256CC"/>
    <w:rsid w:val="00927236"/>
    <w:rsid w:val="00930698"/>
    <w:rsid w:val="009325A3"/>
    <w:rsid w:val="009342F3"/>
    <w:rsid w:val="00934B39"/>
    <w:rsid w:val="00936C7B"/>
    <w:rsid w:val="00942D19"/>
    <w:rsid w:val="00944166"/>
    <w:rsid w:val="00945AA0"/>
    <w:rsid w:val="00947FAA"/>
    <w:rsid w:val="00952E74"/>
    <w:rsid w:val="00957187"/>
    <w:rsid w:val="009606FE"/>
    <w:rsid w:val="00961CB2"/>
    <w:rsid w:val="00962045"/>
    <w:rsid w:val="00963A01"/>
    <w:rsid w:val="009649F8"/>
    <w:rsid w:val="009651CE"/>
    <w:rsid w:val="00970AAB"/>
    <w:rsid w:val="009725DE"/>
    <w:rsid w:val="00986214"/>
    <w:rsid w:val="0098633D"/>
    <w:rsid w:val="00994E79"/>
    <w:rsid w:val="00996A34"/>
    <w:rsid w:val="0099754C"/>
    <w:rsid w:val="00997DCE"/>
    <w:rsid w:val="009A1B67"/>
    <w:rsid w:val="009A1BDC"/>
    <w:rsid w:val="009A21D7"/>
    <w:rsid w:val="009A580D"/>
    <w:rsid w:val="009B0FC5"/>
    <w:rsid w:val="009B1186"/>
    <w:rsid w:val="009B245E"/>
    <w:rsid w:val="009C59F3"/>
    <w:rsid w:val="009C5B5F"/>
    <w:rsid w:val="009C7CE4"/>
    <w:rsid w:val="009D05B9"/>
    <w:rsid w:val="009D237B"/>
    <w:rsid w:val="009D37C1"/>
    <w:rsid w:val="009E0994"/>
    <w:rsid w:val="009E1CB6"/>
    <w:rsid w:val="009E2506"/>
    <w:rsid w:val="009E42C7"/>
    <w:rsid w:val="009E52B3"/>
    <w:rsid w:val="009E58FE"/>
    <w:rsid w:val="009E6D82"/>
    <w:rsid w:val="009F1FA1"/>
    <w:rsid w:val="009F39EF"/>
    <w:rsid w:val="00A0074E"/>
    <w:rsid w:val="00A022CF"/>
    <w:rsid w:val="00A031FC"/>
    <w:rsid w:val="00A0380E"/>
    <w:rsid w:val="00A0432B"/>
    <w:rsid w:val="00A05F20"/>
    <w:rsid w:val="00A2098B"/>
    <w:rsid w:val="00A20A33"/>
    <w:rsid w:val="00A228A4"/>
    <w:rsid w:val="00A24B97"/>
    <w:rsid w:val="00A277DF"/>
    <w:rsid w:val="00A315D2"/>
    <w:rsid w:val="00A32A1A"/>
    <w:rsid w:val="00A36ECF"/>
    <w:rsid w:val="00A4127C"/>
    <w:rsid w:val="00A451E4"/>
    <w:rsid w:val="00A52EF3"/>
    <w:rsid w:val="00A66688"/>
    <w:rsid w:val="00A67444"/>
    <w:rsid w:val="00A7087A"/>
    <w:rsid w:val="00A7445E"/>
    <w:rsid w:val="00A74D06"/>
    <w:rsid w:val="00A76F26"/>
    <w:rsid w:val="00A77309"/>
    <w:rsid w:val="00A77759"/>
    <w:rsid w:val="00A802A3"/>
    <w:rsid w:val="00A8163C"/>
    <w:rsid w:val="00A81B89"/>
    <w:rsid w:val="00A82EE8"/>
    <w:rsid w:val="00A83168"/>
    <w:rsid w:val="00A83F46"/>
    <w:rsid w:val="00A859C2"/>
    <w:rsid w:val="00A87DBF"/>
    <w:rsid w:val="00A91698"/>
    <w:rsid w:val="00A91C99"/>
    <w:rsid w:val="00AA4F81"/>
    <w:rsid w:val="00AA52EB"/>
    <w:rsid w:val="00AA65FC"/>
    <w:rsid w:val="00AB3E32"/>
    <w:rsid w:val="00AB7496"/>
    <w:rsid w:val="00AC2047"/>
    <w:rsid w:val="00AC2A26"/>
    <w:rsid w:val="00AC39A2"/>
    <w:rsid w:val="00AC58FD"/>
    <w:rsid w:val="00AD0AC9"/>
    <w:rsid w:val="00AD6627"/>
    <w:rsid w:val="00AD7356"/>
    <w:rsid w:val="00AD75DA"/>
    <w:rsid w:val="00AD7C01"/>
    <w:rsid w:val="00AE43B7"/>
    <w:rsid w:val="00AF1E40"/>
    <w:rsid w:val="00AF2A50"/>
    <w:rsid w:val="00AF79D6"/>
    <w:rsid w:val="00B01F66"/>
    <w:rsid w:val="00B03D1C"/>
    <w:rsid w:val="00B079CC"/>
    <w:rsid w:val="00B11379"/>
    <w:rsid w:val="00B115F9"/>
    <w:rsid w:val="00B14A73"/>
    <w:rsid w:val="00B14E3F"/>
    <w:rsid w:val="00B170F8"/>
    <w:rsid w:val="00B2685C"/>
    <w:rsid w:val="00B3016B"/>
    <w:rsid w:val="00B31636"/>
    <w:rsid w:val="00B415B0"/>
    <w:rsid w:val="00B445D5"/>
    <w:rsid w:val="00B52125"/>
    <w:rsid w:val="00B545AE"/>
    <w:rsid w:val="00B5515E"/>
    <w:rsid w:val="00B5556C"/>
    <w:rsid w:val="00B6599E"/>
    <w:rsid w:val="00B8121C"/>
    <w:rsid w:val="00B907BD"/>
    <w:rsid w:val="00B9120F"/>
    <w:rsid w:val="00B927A5"/>
    <w:rsid w:val="00B96D40"/>
    <w:rsid w:val="00BA274E"/>
    <w:rsid w:val="00BA5870"/>
    <w:rsid w:val="00BA6391"/>
    <w:rsid w:val="00BA662B"/>
    <w:rsid w:val="00BB4053"/>
    <w:rsid w:val="00BB4372"/>
    <w:rsid w:val="00BB6596"/>
    <w:rsid w:val="00BC0EF6"/>
    <w:rsid w:val="00BC1D2C"/>
    <w:rsid w:val="00BC2265"/>
    <w:rsid w:val="00BC2853"/>
    <w:rsid w:val="00BC33FF"/>
    <w:rsid w:val="00BC4218"/>
    <w:rsid w:val="00BE3231"/>
    <w:rsid w:val="00BE44C2"/>
    <w:rsid w:val="00BF22FD"/>
    <w:rsid w:val="00BF70F4"/>
    <w:rsid w:val="00BF7E3C"/>
    <w:rsid w:val="00C021BB"/>
    <w:rsid w:val="00C041C3"/>
    <w:rsid w:val="00C249CA"/>
    <w:rsid w:val="00C321CC"/>
    <w:rsid w:val="00C344A5"/>
    <w:rsid w:val="00C34772"/>
    <w:rsid w:val="00C34A53"/>
    <w:rsid w:val="00C400DD"/>
    <w:rsid w:val="00C41F5C"/>
    <w:rsid w:val="00C47576"/>
    <w:rsid w:val="00C556B7"/>
    <w:rsid w:val="00C61770"/>
    <w:rsid w:val="00C731A8"/>
    <w:rsid w:val="00C75A11"/>
    <w:rsid w:val="00C771CE"/>
    <w:rsid w:val="00C8142C"/>
    <w:rsid w:val="00C9334E"/>
    <w:rsid w:val="00C97948"/>
    <w:rsid w:val="00CA568F"/>
    <w:rsid w:val="00CA69F6"/>
    <w:rsid w:val="00CA71C1"/>
    <w:rsid w:val="00CB002F"/>
    <w:rsid w:val="00CB0506"/>
    <w:rsid w:val="00CB0CB1"/>
    <w:rsid w:val="00CB2063"/>
    <w:rsid w:val="00CB25BE"/>
    <w:rsid w:val="00CC1E16"/>
    <w:rsid w:val="00CC23E4"/>
    <w:rsid w:val="00CC2495"/>
    <w:rsid w:val="00CC53BA"/>
    <w:rsid w:val="00CD09EE"/>
    <w:rsid w:val="00CD7731"/>
    <w:rsid w:val="00CE2BCE"/>
    <w:rsid w:val="00CE2DFC"/>
    <w:rsid w:val="00CE505A"/>
    <w:rsid w:val="00CE5BB8"/>
    <w:rsid w:val="00CE6F6A"/>
    <w:rsid w:val="00CF04C0"/>
    <w:rsid w:val="00CF1BCC"/>
    <w:rsid w:val="00D03A62"/>
    <w:rsid w:val="00D044F0"/>
    <w:rsid w:val="00D079A7"/>
    <w:rsid w:val="00D10B35"/>
    <w:rsid w:val="00D11585"/>
    <w:rsid w:val="00D11B7D"/>
    <w:rsid w:val="00D1463F"/>
    <w:rsid w:val="00D15749"/>
    <w:rsid w:val="00D234FF"/>
    <w:rsid w:val="00D27255"/>
    <w:rsid w:val="00D30E30"/>
    <w:rsid w:val="00D3150E"/>
    <w:rsid w:val="00D32746"/>
    <w:rsid w:val="00D32B87"/>
    <w:rsid w:val="00D33330"/>
    <w:rsid w:val="00D358DD"/>
    <w:rsid w:val="00D4068A"/>
    <w:rsid w:val="00D44588"/>
    <w:rsid w:val="00D460BF"/>
    <w:rsid w:val="00D52B78"/>
    <w:rsid w:val="00D53F72"/>
    <w:rsid w:val="00D61BCF"/>
    <w:rsid w:val="00D641FB"/>
    <w:rsid w:val="00D646EF"/>
    <w:rsid w:val="00D67D69"/>
    <w:rsid w:val="00D774A1"/>
    <w:rsid w:val="00D779A4"/>
    <w:rsid w:val="00D80F3B"/>
    <w:rsid w:val="00D95530"/>
    <w:rsid w:val="00D9624B"/>
    <w:rsid w:val="00D96FC1"/>
    <w:rsid w:val="00DA377C"/>
    <w:rsid w:val="00DA7186"/>
    <w:rsid w:val="00DA7D95"/>
    <w:rsid w:val="00DB0474"/>
    <w:rsid w:val="00DC4818"/>
    <w:rsid w:val="00DD1C3A"/>
    <w:rsid w:val="00DD53AE"/>
    <w:rsid w:val="00DE2B67"/>
    <w:rsid w:val="00DE2EA8"/>
    <w:rsid w:val="00DE3320"/>
    <w:rsid w:val="00DE39C9"/>
    <w:rsid w:val="00DE7109"/>
    <w:rsid w:val="00DF0EB7"/>
    <w:rsid w:val="00DF2E6F"/>
    <w:rsid w:val="00DF6992"/>
    <w:rsid w:val="00DF7E88"/>
    <w:rsid w:val="00E054D9"/>
    <w:rsid w:val="00E07E63"/>
    <w:rsid w:val="00E132C6"/>
    <w:rsid w:val="00E14E25"/>
    <w:rsid w:val="00E21ADD"/>
    <w:rsid w:val="00E22ECE"/>
    <w:rsid w:val="00E25CEE"/>
    <w:rsid w:val="00E356B3"/>
    <w:rsid w:val="00E3737E"/>
    <w:rsid w:val="00E37FC3"/>
    <w:rsid w:val="00E405A9"/>
    <w:rsid w:val="00E4196C"/>
    <w:rsid w:val="00E467FE"/>
    <w:rsid w:val="00E560A1"/>
    <w:rsid w:val="00E57750"/>
    <w:rsid w:val="00E65B5A"/>
    <w:rsid w:val="00E66162"/>
    <w:rsid w:val="00E728B5"/>
    <w:rsid w:val="00E72AC9"/>
    <w:rsid w:val="00E75D4B"/>
    <w:rsid w:val="00E85D02"/>
    <w:rsid w:val="00EA4DB5"/>
    <w:rsid w:val="00EA7674"/>
    <w:rsid w:val="00EB2C42"/>
    <w:rsid w:val="00EB36B1"/>
    <w:rsid w:val="00EB43FA"/>
    <w:rsid w:val="00EB71F2"/>
    <w:rsid w:val="00EC7C30"/>
    <w:rsid w:val="00ED181D"/>
    <w:rsid w:val="00EE787C"/>
    <w:rsid w:val="00EF22BC"/>
    <w:rsid w:val="00EF287A"/>
    <w:rsid w:val="00EF6E8C"/>
    <w:rsid w:val="00F022DC"/>
    <w:rsid w:val="00F05151"/>
    <w:rsid w:val="00F052A2"/>
    <w:rsid w:val="00F06C2F"/>
    <w:rsid w:val="00F129D7"/>
    <w:rsid w:val="00F14D54"/>
    <w:rsid w:val="00F341DA"/>
    <w:rsid w:val="00F34F1B"/>
    <w:rsid w:val="00F407C5"/>
    <w:rsid w:val="00F42FDD"/>
    <w:rsid w:val="00F4425B"/>
    <w:rsid w:val="00F45B67"/>
    <w:rsid w:val="00F47273"/>
    <w:rsid w:val="00F50405"/>
    <w:rsid w:val="00F549D2"/>
    <w:rsid w:val="00F674CA"/>
    <w:rsid w:val="00F67672"/>
    <w:rsid w:val="00F868FE"/>
    <w:rsid w:val="00F86C74"/>
    <w:rsid w:val="00F90952"/>
    <w:rsid w:val="00F97976"/>
    <w:rsid w:val="00FA5F11"/>
    <w:rsid w:val="00FA78AE"/>
    <w:rsid w:val="00FB44E1"/>
    <w:rsid w:val="00FB6746"/>
    <w:rsid w:val="00FC038A"/>
    <w:rsid w:val="00FC0C83"/>
    <w:rsid w:val="00FC2E86"/>
    <w:rsid w:val="00FD0DD9"/>
    <w:rsid w:val="00FD1045"/>
    <w:rsid w:val="00FD216D"/>
    <w:rsid w:val="00FD64FE"/>
    <w:rsid w:val="00FE0D99"/>
    <w:rsid w:val="00FE766D"/>
    <w:rsid w:val="00FF13A5"/>
    <w:rsid w:val="00FF5A8D"/>
    <w:rsid w:val="0D564513"/>
    <w:rsid w:val="10C82ACF"/>
    <w:rsid w:val="1236537F"/>
    <w:rsid w:val="123A14F2"/>
    <w:rsid w:val="136C48DE"/>
    <w:rsid w:val="13846421"/>
    <w:rsid w:val="14040D1B"/>
    <w:rsid w:val="1BE41235"/>
    <w:rsid w:val="1BFE24B9"/>
    <w:rsid w:val="1DA72BDC"/>
    <w:rsid w:val="249E20DA"/>
    <w:rsid w:val="27D37F8D"/>
    <w:rsid w:val="27FD406A"/>
    <w:rsid w:val="2A964648"/>
    <w:rsid w:val="2D1D005F"/>
    <w:rsid w:val="2DC7649F"/>
    <w:rsid w:val="365B6875"/>
    <w:rsid w:val="36ED408B"/>
    <w:rsid w:val="39E2283C"/>
    <w:rsid w:val="3A132460"/>
    <w:rsid w:val="3C577C28"/>
    <w:rsid w:val="3EA61E6C"/>
    <w:rsid w:val="3F1BCB25"/>
    <w:rsid w:val="3F599F0E"/>
    <w:rsid w:val="3F77D5D2"/>
    <w:rsid w:val="3F803B09"/>
    <w:rsid w:val="3FD92C69"/>
    <w:rsid w:val="3FDFB89B"/>
    <w:rsid w:val="3FDFE23C"/>
    <w:rsid w:val="3FFF1D75"/>
    <w:rsid w:val="3FFF7AA1"/>
    <w:rsid w:val="44E643BD"/>
    <w:rsid w:val="44FF854F"/>
    <w:rsid w:val="4F3BEFBB"/>
    <w:rsid w:val="51F669CD"/>
    <w:rsid w:val="53197976"/>
    <w:rsid w:val="547E1405"/>
    <w:rsid w:val="54FB3808"/>
    <w:rsid w:val="56FF2437"/>
    <w:rsid w:val="5749401A"/>
    <w:rsid w:val="57FF8AC1"/>
    <w:rsid w:val="5BFAB57B"/>
    <w:rsid w:val="5DBCF3F8"/>
    <w:rsid w:val="5F5B2707"/>
    <w:rsid w:val="5F703239"/>
    <w:rsid w:val="5FFBE41B"/>
    <w:rsid w:val="600E53AA"/>
    <w:rsid w:val="60101760"/>
    <w:rsid w:val="638F3A00"/>
    <w:rsid w:val="64352B9A"/>
    <w:rsid w:val="65AF16F4"/>
    <w:rsid w:val="67B677E9"/>
    <w:rsid w:val="67FE4A84"/>
    <w:rsid w:val="68D41E1C"/>
    <w:rsid w:val="6A4F4521"/>
    <w:rsid w:val="6EC536E6"/>
    <w:rsid w:val="6F3F0C47"/>
    <w:rsid w:val="6FBF88A8"/>
    <w:rsid w:val="6FEAAC17"/>
    <w:rsid w:val="6FFF59EA"/>
    <w:rsid w:val="6FFFC1CE"/>
    <w:rsid w:val="6FFFF50A"/>
    <w:rsid w:val="715B17E8"/>
    <w:rsid w:val="73DE168D"/>
    <w:rsid w:val="75E0165E"/>
    <w:rsid w:val="75F24768"/>
    <w:rsid w:val="763924C2"/>
    <w:rsid w:val="76D7C399"/>
    <w:rsid w:val="76EFE279"/>
    <w:rsid w:val="79E461BB"/>
    <w:rsid w:val="7B6B6259"/>
    <w:rsid w:val="7B9AA7DA"/>
    <w:rsid w:val="7BBEE8C0"/>
    <w:rsid w:val="7BEE1046"/>
    <w:rsid w:val="7BFD2FCC"/>
    <w:rsid w:val="7BFF0BAC"/>
    <w:rsid w:val="7CF3CC18"/>
    <w:rsid w:val="7DFD6123"/>
    <w:rsid w:val="7E5AD044"/>
    <w:rsid w:val="7E5DC344"/>
    <w:rsid w:val="7EBE7D47"/>
    <w:rsid w:val="7EEB3C5F"/>
    <w:rsid w:val="7EF766C1"/>
    <w:rsid w:val="7EFF39C5"/>
    <w:rsid w:val="7F0FD3CF"/>
    <w:rsid w:val="7F6BE2FE"/>
    <w:rsid w:val="7F7724E3"/>
    <w:rsid w:val="7F7DF3A7"/>
    <w:rsid w:val="7FBFC2DF"/>
    <w:rsid w:val="7FEF1295"/>
    <w:rsid w:val="7FFB1A12"/>
    <w:rsid w:val="7FFB70A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891B561-A20D-40EB-B2A4-F58FA2387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ody Text"/>
    <w:basedOn w:val="a"/>
    <w:qFormat/>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qFormat/>
    <w:pPr>
      <w:tabs>
        <w:tab w:val="center" w:pos="4153"/>
        <w:tab w:val="right" w:pos="8306"/>
      </w:tabs>
      <w:snapToGrid w:val="0"/>
      <w:jc w:val="left"/>
    </w:pPr>
    <w:rPr>
      <w:sz w:val="18"/>
      <w:szCs w:val="18"/>
    </w:rPr>
  </w:style>
  <w:style w:type="paragraph" w:styleId="aa">
    <w:name w:val="header"/>
    <w:basedOn w:val="a"/>
    <w:link w:val="ab"/>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ac">
    <w:name w:val="annotation subject"/>
    <w:basedOn w:val="a3"/>
    <w:next w:val="a3"/>
    <w:link w:val="ad"/>
    <w:uiPriority w:val="99"/>
    <w:semiHidden/>
    <w:unhideWhenUsed/>
    <w:qFormat/>
    <w:rPr>
      <w:b/>
      <w:bCs/>
    </w:rPr>
  </w:style>
  <w:style w:type="character" w:styleId="ae">
    <w:name w:val="annotation reference"/>
    <w:basedOn w:val="a0"/>
    <w:uiPriority w:val="99"/>
    <w:semiHidden/>
    <w:unhideWhenUsed/>
    <w:qFormat/>
    <w:rPr>
      <w:sz w:val="21"/>
      <w:szCs w:val="21"/>
    </w:rPr>
  </w:style>
  <w:style w:type="character" w:customStyle="1" w:styleId="a9">
    <w:name w:val="页脚 字符"/>
    <w:basedOn w:val="a0"/>
    <w:link w:val="a8"/>
    <w:uiPriority w:val="99"/>
    <w:qFormat/>
    <w:rPr>
      <w:rFonts w:ascii="Times New Roman" w:eastAsia="宋体" w:hAnsi="Times New Roman" w:cs="Times New Roman"/>
      <w:sz w:val="18"/>
      <w:szCs w:val="18"/>
    </w:rPr>
  </w:style>
  <w:style w:type="character" w:customStyle="1" w:styleId="1">
    <w:name w:val="页码1"/>
    <w:basedOn w:val="a0"/>
    <w:qFormat/>
  </w:style>
  <w:style w:type="paragraph" w:customStyle="1" w:styleId="10">
    <w:name w:val="普通(网站)1"/>
    <w:basedOn w:val="a"/>
    <w:qFormat/>
    <w:pPr>
      <w:widowControl/>
      <w:spacing w:before="100" w:beforeAutospacing="1" w:after="100" w:afterAutospacing="1"/>
      <w:jc w:val="left"/>
    </w:pPr>
    <w:rPr>
      <w:rFonts w:ascii="宋体" w:hAnsi="宋体"/>
      <w:kern w:val="0"/>
      <w:sz w:val="24"/>
    </w:rPr>
  </w:style>
  <w:style w:type="character" w:customStyle="1" w:styleId="ab">
    <w:name w:val="页眉 字符"/>
    <w:basedOn w:val="a0"/>
    <w:link w:val="aa"/>
    <w:uiPriority w:val="99"/>
    <w:semiHidden/>
    <w:qFormat/>
    <w:rPr>
      <w:kern w:val="2"/>
      <w:sz w:val="18"/>
      <w:szCs w:val="18"/>
    </w:rPr>
  </w:style>
  <w:style w:type="character" w:customStyle="1" w:styleId="a4">
    <w:name w:val="批注文字 字符"/>
    <w:basedOn w:val="a0"/>
    <w:link w:val="a3"/>
    <w:uiPriority w:val="99"/>
    <w:semiHidden/>
    <w:qFormat/>
    <w:rPr>
      <w:kern w:val="2"/>
      <w:sz w:val="21"/>
      <w:szCs w:val="24"/>
    </w:rPr>
  </w:style>
  <w:style w:type="character" w:customStyle="1" w:styleId="ad">
    <w:name w:val="批注主题 字符"/>
    <w:basedOn w:val="a4"/>
    <w:link w:val="ac"/>
    <w:uiPriority w:val="99"/>
    <w:semiHidden/>
    <w:qFormat/>
    <w:rPr>
      <w:b/>
      <w:bCs/>
      <w:kern w:val="2"/>
      <w:sz w:val="21"/>
      <w:szCs w:val="24"/>
    </w:rPr>
  </w:style>
  <w:style w:type="paragraph" w:customStyle="1" w:styleId="11">
    <w:name w:val="修订1"/>
    <w:hidden/>
    <w:uiPriority w:val="99"/>
    <w:semiHidden/>
    <w:qFormat/>
    <w:rPr>
      <w:kern w:val="2"/>
      <w:sz w:val="21"/>
      <w:szCs w:val="24"/>
    </w:rPr>
  </w:style>
  <w:style w:type="character" w:customStyle="1" w:styleId="a7">
    <w:name w:val="批注框文本 字符"/>
    <w:basedOn w:val="a0"/>
    <w:link w:val="a6"/>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cpro.baidu.com/cpro/ui/uijs.php?adclass=0&amp;app_id=0&amp;c=news&amp;cf=1001&amp;ch=0&amp;di=8&amp;fv=20&amp;is_app=0&amp;jk=7f73ba4fae78f5bc&amp;k=%BC%C7%D5%CB&amp;k0=%BC%C7%D5%CB&amp;kdi0=0&amp;luki=2&amp;mcpm=0&amp;n=10&amp;p=baidu&amp;q=baidusiteerror_cpr&amp;rb=0&amp;rs=1&amp;seller_id=1&amp;sid=bcf578ae4fba737f&amp;ssp2=1&amp;stid=9&amp;t=tpclicked3_hc&amp;td=1615258&amp;tu=u1615258&amp;u=http://emuch.net/html/201505/8901825.html&amp;urlid=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1109</Words>
  <Characters>6325</Characters>
  <Application>Microsoft Office Word</Application>
  <DocSecurity>0</DocSecurity>
  <Lines>52</Lines>
  <Paragraphs>14</Paragraphs>
  <ScaleCrop>false</ScaleCrop>
  <Company/>
  <LinksUpToDate>false</LinksUpToDate>
  <CharactersWithSpaces>7420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系统管理员(sysadmin)</dc:title>
  <dc:creator>系统管理员(sysadmin)</dc:creator>
  <cp:lastModifiedBy>周发新</cp:lastModifiedBy>
  <cp:revision>40</cp:revision>
  <cp:lastPrinted>2021-09-29T18:19:00Z</cp:lastPrinted>
  <dcterms:created xsi:type="dcterms:W3CDTF">2021-09-17T06:34:00Z</dcterms:created>
  <dcterms:modified xsi:type="dcterms:W3CDTF">2022-01-07T08:36:00Z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2052-11.8.2.9695</vt:lpwstr>
  </property>
  <property fmtid="{D5CDD505-2E9C-101B-9397-08002B2CF9AE}" pid="3" name="ICV">
    <vt:lpwstr>71B845EAAD4E4EB49C3EB53C70079BC5</vt:lpwstr>
  </property>
</Properties>
</file>