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 w:lineRule="exact"/>
        <w:jc w:val="center"/>
        <w:rPr>
          <w:rFonts w:hint="eastAsia" w:ascii="宋体" w:hAnsi="宋体"/>
          <w:color w:val="000000"/>
          <w:sz w:val="36"/>
          <w:szCs w:val="36"/>
        </w:rPr>
      </w:pPr>
      <w:bookmarkStart w:id="0" w:name="_Toc530473016"/>
    </w:p>
    <w:bookmarkEnd w:id="0"/>
    <w:p>
      <w:pPr>
        <w:spacing w:line="740" w:lineRule="exact"/>
        <w:jc w:val="center"/>
        <w:outlineLvl w:val="2"/>
        <w:rPr>
          <w:rFonts w:hint="eastAsia" w:ascii="黑体" w:hAnsi="黑体" w:eastAsia="黑体" w:cs="黑体"/>
          <w:color w:val="000000"/>
          <w:sz w:val="32"/>
          <w:szCs w:val="32"/>
        </w:rPr>
      </w:pPr>
      <w:bookmarkStart w:id="1" w:name="_Toc2124023149"/>
      <w:bookmarkStart w:id="2" w:name="_Toc1827832502"/>
      <w:bookmarkStart w:id="3" w:name="_Toc1550903188"/>
      <w:bookmarkStart w:id="4" w:name="_Toc1099067205"/>
      <w:bookmarkStart w:id="5" w:name="_Toc2131911538"/>
      <w:bookmarkStart w:id="6" w:name="_Toc1423068732"/>
      <w:bookmarkStart w:id="7" w:name="_Toc175603519"/>
      <w:bookmarkStart w:id="8" w:name="_Toc357348418"/>
      <w:r>
        <w:rPr>
          <w:rFonts w:hint="eastAsia" w:ascii="黑体" w:hAnsi="黑体" w:eastAsia="黑体" w:cs="黑体"/>
          <w:color w:val="000000"/>
          <w:sz w:val="32"/>
          <w:szCs w:val="32"/>
        </w:rPr>
        <w:t>2023年度海南省科学技术奖提名公示内容</w:t>
      </w:r>
      <w:bookmarkEnd w:id="1"/>
      <w:bookmarkEnd w:id="2"/>
      <w:bookmarkEnd w:id="3"/>
      <w:bookmarkEnd w:id="4"/>
      <w:bookmarkEnd w:id="5"/>
      <w:bookmarkEnd w:id="6"/>
      <w:bookmarkEnd w:id="7"/>
      <w:bookmarkEnd w:id="8"/>
      <w:r>
        <w:rPr>
          <w:rFonts w:hint="eastAsia" w:ascii="黑体" w:hAnsi="黑体" w:eastAsia="黑体" w:cs="黑体"/>
          <w:sz w:val="32"/>
          <w:szCs w:val="32"/>
        </w:rPr>
        <w:t>（参考模板）</w:t>
      </w:r>
    </w:p>
    <w:p>
      <w:pPr>
        <w:spacing w:line="100" w:lineRule="exact"/>
        <w:jc w:val="center"/>
        <w:rPr>
          <w:rFonts w:hint="eastAsia" w:ascii="仿宋_GB2312" w:hAnsi="仿宋_GB2312" w:eastAsia="仿宋_GB2312" w:cs="仿宋_GB2312"/>
          <w:color w:val="000000"/>
          <w:sz w:val="32"/>
          <w:szCs w:val="32"/>
        </w:rPr>
      </w:pPr>
    </w:p>
    <w:p>
      <w:pPr>
        <w:spacing w:line="440" w:lineRule="exact"/>
        <w:jc w:val="center"/>
        <w:rPr>
          <w:rFonts w:hint="eastAsia" w:eastAsia="仿宋_GB2312"/>
          <w:szCs w:val="24"/>
        </w:rPr>
      </w:pPr>
      <w:r>
        <w:rPr>
          <w:rFonts w:hint="eastAsia" w:eastAsia="仿宋_GB2312"/>
          <w:szCs w:val="24"/>
        </w:rPr>
        <w:t>（适用于项目主要完成单位、主要完成人所在单位）</w:t>
      </w:r>
    </w:p>
    <w:p>
      <w:pPr>
        <w:spacing w:line="440" w:lineRule="exact"/>
        <w:rPr>
          <w:rFonts w:hint="eastAsia" w:eastAsia="仿宋_GB2312"/>
          <w:szCs w:val="24"/>
        </w:rPr>
      </w:pPr>
    </w:p>
    <w:tbl>
      <w:tblPr>
        <w:tblStyle w:val="4"/>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2269" w:type="dxa"/>
            <w:noWrap w:val="0"/>
            <w:vAlign w:val="center"/>
          </w:tcPr>
          <w:p>
            <w:pPr>
              <w:jc w:val="center"/>
              <w:rPr>
                <w:rStyle w:val="6"/>
                <w:rFonts w:eastAsia="仿宋_GB2312"/>
                <w:color w:val="auto"/>
              </w:rPr>
            </w:pPr>
            <w:bookmarkStart w:id="9" w:name="_GoBack"/>
            <w:bookmarkEnd w:id="9"/>
            <w:r>
              <w:rPr>
                <w:rStyle w:val="6"/>
                <w:rFonts w:hint="eastAsia" w:eastAsia="仿宋_GB2312"/>
                <w:color w:val="auto"/>
              </w:rPr>
              <w:t>项目</w:t>
            </w:r>
            <w:r>
              <w:rPr>
                <w:rStyle w:val="6"/>
                <w:rFonts w:eastAsia="仿宋_GB2312"/>
                <w:color w:val="auto"/>
              </w:rPr>
              <w:t>名称</w:t>
            </w:r>
          </w:p>
        </w:tc>
        <w:tc>
          <w:tcPr>
            <w:tcW w:w="7051" w:type="dxa"/>
            <w:noWrap w:val="0"/>
            <w:vAlign w:val="center"/>
          </w:tcPr>
          <w:p>
            <w:pPr>
              <w:jc w:val="center"/>
              <w:rPr>
                <w:rStyle w:val="6"/>
                <w:rFonts w:hint="eastAsia" w:eastAsia="仿宋_GB2312"/>
                <w:b w:val="0"/>
                <w:color w:val="auto"/>
                <w:sz w:val="28"/>
                <w:lang w:val="en-US" w:eastAsia="zh-CN"/>
              </w:rPr>
            </w:pPr>
            <w:r>
              <w:rPr>
                <w:rStyle w:val="6"/>
                <w:rFonts w:hint="eastAsia" w:eastAsia="仿宋_GB2312"/>
                <w:b w:val="0"/>
                <w:color w:val="auto"/>
                <w:sz w:val="28"/>
                <w:lang w:val="en-US" w:eastAsia="zh-CN"/>
              </w:rPr>
              <w:t>听障儿童数学能力发展及其认知机制研究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2269" w:type="dxa"/>
            <w:noWrap w:val="0"/>
            <w:vAlign w:val="center"/>
          </w:tcPr>
          <w:p>
            <w:pPr>
              <w:jc w:val="center"/>
              <w:rPr>
                <w:rStyle w:val="6"/>
                <w:rFonts w:eastAsia="仿宋_GB2312"/>
                <w:color w:val="auto"/>
              </w:rPr>
            </w:pPr>
            <w:r>
              <w:rPr>
                <w:rStyle w:val="6"/>
                <w:rFonts w:eastAsia="仿宋_GB2312"/>
                <w:color w:val="auto"/>
              </w:rPr>
              <w:t>提名</w:t>
            </w:r>
            <w:r>
              <w:rPr>
                <w:rStyle w:val="6"/>
                <w:rFonts w:hint="eastAsia" w:eastAsia="仿宋_GB2312"/>
                <w:color w:val="auto"/>
              </w:rPr>
              <w:t>奖项/</w:t>
            </w:r>
            <w:r>
              <w:rPr>
                <w:rStyle w:val="6"/>
                <w:rFonts w:eastAsia="仿宋_GB2312"/>
                <w:color w:val="auto"/>
              </w:rPr>
              <w:t>等级</w:t>
            </w:r>
          </w:p>
        </w:tc>
        <w:tc>
          <w:tcPr>
            <w:tcW w:w="7051" w:type="dxa"/>
            <w:noWrap w:val="0"/>
            <w:vAlign w:val="center"/>
          </w:tcPr>
          <w:p>
            <w:pPr>
              <w:jc w:val="center"/>
              <w:rPr>
                <w:rStyle w:val="6"/>
                <w:rFonts w:hint="eastAsia" w:eastAsia="仿宋_GB2312"/>
                <w:b w:val="0"/>
                <w:color w:val="auto"/>
                <w:sz w:val="28"/>
                <w:lang w:val="en-US" w:eastAsia="zh-CN"/>
              </w:rPr>
            </w:pPr>
            <w:r>
              <w:rPr>
                <w:rStyle w:val="6"/>
                <w:rFonts w:hint="eastAsia" w:eastAsia="仿宋_GB2312"/>
                <w:b w:val="0"/>
                <w:color w:val="auto"/>
                <w:sz w:val="28"/>
                <w:lang w:val="en-US" w:eastAsia="zh-CN"/>
              </w:rPr>
              <w:t>海南省自然科学奖  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2269" w:type="dxa"/>
            <w:noWrap w:val="0"/>
            <w:vAlign w:val="center"/>
          </w:tcPr>
          <w:p>
            <w:pPr>
              <w:jc w:val="center"/>
              <w:rPr>
                <w:rFonts w:hint="eastAsia" w:eastAsia="仿宋_GB2312"/>
                <w:b/>
                <w:bCs/>
                <w:sz w:val="24"/>
                <w:szCs w:val="24"/>
                <w:lang w:val="en"/>
              </w:rPr>
            </w:pPr>
            <w:r>
              <w:rPr>
                <w:rStyle w:val="6"/>
                <w:rFonts w:eastAsia="仿宋_GB2312"/>
                <w:color w:val="auto"/>
              </w:rPr>
              <w:t>提名单位</w:t>
            </w:r>
          </w:p>
        </w:tc>
        <w:tc>
          <w:tcPr>
            <w:tcW w:w="7051" w:type="dxa"/>
            <w:noWrap w:val="0"/>
            <w:vAlign w:val="center"/>
          </w:tcPr>
          <w:p>
            <w:pPr>
              <w:contextualSpacing/>
              <w:jc w:val="center"/>
              <w:rPr>
                <w:bCs/>
                <w:sz w:val="24"/>
                <w:szCs w:val="24"/>
              </w:rPr>
            </w:pPr>
            <w:r>
              <w:rPr>
                <w:rFonts w:hint="eastAsia" w:eastAsia="仿宋_GB2312"/>
                <w:sz w:val="28"/>
                <w:szCs w:val="28"/>
                <w:lang w:val="en-US" w:eastAsia="zh-CN"/>
              </w:rPr>
              <w:t>海南省科学技术协会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2269" w:type="dxa"/>
            <w:noWrap w:val="0"/>
            <w:vAlign w:val="center"/>
          </w:tcPr>
          <w:p>
            <w:pPr>
              <w:jc w:val="center"/>
              <w:rPr>
                <w:rFonts w:eastAsia="仿宋_GB2312"/>
                <w:b/>
                <w:bCs/>
                <w:sz w:val="24"/>
                <w:szCs w:val="24"/>
              </w:rPr>
            </w:pPr>
            <w:r>
              <w:rPr>
                <w:rStyle w:val="6"/>
                <w:rFonts w:eastAsia="仿宋_GB2312"/>
                <w:color w:val="auto"/>
              </w:rPr>
              <w:t>提名意见</w:t>
            </w:r>
          </w:p>
        </w:tc>
        <w:tc>
          <w:tcPr>
            <w:tcW w:w="705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ind w:firstLine="420"/>
              <w:jc w:val="left"/>
              <w:textAlignment w:val="auto"/>
              <w:rPr>
                <w:rFonts w:hint="eastAsia" w:ascii="宋体" w:hAnsi="宋体"/>
                <w:sz w:val="21"/>
                <w:szCs w:val="21"/>
                <w:lang w:val="en-US" w:eastAsia="zh-CN"/>
              </w:rPr>
            </w:pPr>
            <w:r>
              <w:rPr>
                <w:rFonts w:hint="default" w:ascii="宋体" w:hAnsi="宋体"/>
                <w:sz w:val="21"/>
                <w:szCs w:val="21"/>
                <w:lang w:val="en-US" w:eastAsia="zh-CN"/>
              </w:rPr>
              <w:t>2022</w:t>
            </w:r>
            <w:r>
              <w:rPr>
                <w:rFonts w:hint="eastAsia" w:ascii="宋体" w:hAnsi="宋体"/>
                <w:sz w:val="21"/>
                <w:szCs w:val="21"/>
                <w:lang w:val="en-US" w:eastAsia="zh-CN"/>
              </w:rPr>
              <w:t xml:space="preserve">年 </w:t>
            </w:r>
            <w:r>
              <w:rPr>
                <w:rFonts w:hint="default" w:ascii="宋体" w:hAnsi="宋体"/>
                <w:sz w:val="21"/>
                <w:szCs w:val="21"/>
                <w:lang w:val="en-US" w:eastAsia="zh-CN"/>
              </w:rPr>
              <w:t>1</w:t>
            </w:r>
            <w:r>
              <w:rPr>
                <w:rFonts w:hint="eastAsia" w:ascii="宋体" w:hAnsi="宋体"/>
                <w:sz w:val="21"/>
                <w:szCs w:val="21"/>
                <w:lang w:val="en-US" w:eastAsia="zh-CN"/>
              </w:rPr>
              <w:t>月出台的《“十四五”特殊教育发展提升行动计划》提出要全面提高特殊教育质量，在党的二十大报告中也提出“强化特殊教育普惠发展”，从而提高特殊儿童适应社会和生存发展能力，实现其最大限度的发展。数学知识与数学能力对特殊儿童社会生活适应有极其重要的作用，且数学认知与语言认知关系密切。本项目以有语言缺陷的听障儿童为研究对象，围绕听障儿童数学能力发展及其认知机制开展研究，有如下重要科学发现：1）听障儿童的数学表现更依赖于一般的认知能力（如信息加工速度和空间能力），而不是具体的数字能力（如符号、非符号数量加工）；研究结果不仅明确了一般认知能力对听障儿童数学表现的影响，而且揭示了其内在影响机制。2）信息加工速度并不是简单地作用于现实世界的表现，而是可以通过智力的中介作用间接地影响听障儿童的学业表现。3）先天聋的数学能力优于后天聋青少年，以及数量加工对聋青少年数学计算能力的预测作用。</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20"/>
              <w:jc w:val="left"/>
              <w:textAlignment w:val="auto"/>
              <w:rPr>
                <w:rFonts w:hint="eastAsia" w:ascii="宋体" w:hAnsi="宋体"/>
                <w:sz w:val="21"/>
                <w:szCs w:val="21"/>
              </w:rPr>
            </w:pPr>
            <w:r>
              <w:rPr>
                <w:rFonts w:hint="eastAsia" w:ascii="宋体" w:hAnsi="宋体"/>
                <w:sz w:val="21"/>
                <w:szCs w:val="21"/>
                <w:lang w:val="en-US" w:eastAsia="zh-CN"/>
              </w:rPr>
              <w:t>该研究不仅从特殊人群的角度进一步揭示了视知觉在数学能力发展中的作用，拓展了数学认知与语言认知关系的研究，也为聋生的数学教育干预提供了理论依据。研究成果得到国内外学者推介及引用，受到国内外学术界的广泛关注和肯定。</w:t>
            </w:r>
          </w:p>
          <w:p>
            <w:pPr>
              <w:keepNext w:val="0"/>
              <w:keepLines w:val="0"/>
              <w:pageBreakBefore w:val="0"/>
              <w:kinsoku/>
              <w:wordWrap/>
              <w:overflowPunct/>
              <w:topLinePunct w:val="0"/>
              <w:autoSpaceDE/>
              <w:autoSpaceDN/>
              <w:bidi w:val="0"/>
              <w:adjustRightInd/>
              <w:snapToGrid/>
              <w:spacing w:line="440" w:lineRule="exact"/>
              <w:textAlignment w:val="auto"/>
              <w:rPr>
                <w:bCs/>
                <w:sz w:val="24"/>
                <w:szCs w:val="24"/>
              </w:rPr>
            </w:pPr>
            <w:r>
              <w:rPr>
                <w:rFonts w:hint="eastAsia" w:ascii="宋体" w:hAnsi="宋体"/>
                <w:sz w:val="21"/>
                <w:szCs w:val="21"/>
              </w:rPr>
              <w:t xml:space="preserve">     提名该项目为海南省自然科学奖  </w:t>
            </w:r>
            <w:r>
              <w:rPr>
                <w:rFonts w:hint="eastAsia" w:ascii="宋体" w:hAnsi="宋体"/>
                <w:sz w:val="21"/>
                <w:szCs w:val="21"/>
                <w:lang w:val="en-US" w:eastAsia="zh-CN"/>
              </w:rPr>
              <w:t>三</w:t>
            </w:r>
            <w:r>
              <w:rPr>
                <w:rFonts w:hint="eastAsia" w:ascii="宋体" w:hAnsi="宋体"/>
                <w:sz w:val="21"/>
                <w:szCs w:val="21"/>
              </w:rPr>
              <w:t xml:space="preserve">  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2269" w:type="dxa"/>
            <w:tcBorders>
              <w:right w:val="single" w:color="auto" w:sz="4" w:space="0"/>
            </w:tcBorders>
            <w:noWrap w:val="0"/>
            <w:vAlign w:val="center"/>
          </w:tcPr>
          <w:p>
            <w:pPr>
              <w:spacing w:line="440" w:lineRule="exact"/>
              <w:jc w:val="center"/>
              <w:rPr>
                <w:rFonts w:hint="eastAsia" w:eastAsia="仿宋_GB2312"/>
                <w:b/>
                <w:bCs/>
                <w:sz w:val="24"/>
                <w:szCs w:val="24"/>
              </w:rPr>
            </w:pPr>
            <w:r>
              <w:rPr>
                <w:rFonts w:hint="eastAsia" w:eastAsia="仿宋_GB2312"/>
                <w:b/>
                <w:bCs/>
                <w:sz w:val="24"/>
                <w:szCs w:val="24"/>
              </w:rPr>
              <w:t>项目简介</w:t>
            </w:r>
          </w:p>
        </w:tc>
        <w:tc>
          <w:tcPr>
            <w:tcW w:w="7051" w:type="dxa"/>
            <w:tcBorders>
              <w:left w:val="single" w:color="auto" w:sz="4" w:space="0"/>
            </w:tcBorders>
            <w:noWrap w:val="0"/>
            <w:vAlign w:val="center"/>
          </w:tcPr>
          <w:p>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楷体_GB2312" w:hAnsi="宋体" w:eastAsia="楷体_GB2312" w:cs="Arial"/>
                <w:lang w:val="en-US" w:eastAsia="zh-CN"/>
              </w:rPr>
            </w:pPr>
            <w:r>
              <w:rPr>
                <w:rFonts w:hint="eastAsia" w:ascii="宋体" w:hAnsi="宋体" w:eastAsia="宋体" w:cs="Times New Roman"/>
                <w:kern w:val="2"/>
                <w:sz w:val="21"/>
                <w:szCs w:val="21"/>
                <w:lang w:val="en-US" w:eastAsia="zh-CN" w:bidi="ar-SA"/>
              </w:rPr>
              <w:t>基于近年来国家对于特殊儿童发展的关切，尤其是提高特殊儿童适应社会和生存发展能力，实现其最大限度发展的要求，而研究表明数学知识与数学能力对特殊儿童社会生活适应有极其重要的作用，且数学认知与语言认知关系密切，本项目以有语言缺陷的听障儿童为研究对象，围绕听障儿童数学能力发展及其认知机制开展研究，主要研究内容包括：1）从智力、空间能力、信息加工速度、执行功能等方面，探究影响听障儿童数学能力发展的一般认知因素；2）从语义加工、数量加工等方面，探究影响听障儿童数学能力发展的特殊认知因素；3）分析一般认知因素与特殊认知因素对听障儿童数学能力的影响机制；4）明确个体因素与认知因素对听障儿童数学能力发展的作用机制。</w:t>
            </w:r>
          </w:p>
          <w:p>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通过对本项目的研究，</w:t>
            </w:r>
            <w:r>
              <w:rPr>
                <w:rFonts w:hint="eastAsia" w:ascii="宋体" w:hAnsi="宋体" w:eastAsia="宋体" w:cs="Times New Roman"/>
                <w:b/>
                <w:bCs/>
                <w:kern w:val="2"/>
                <w:sz w:val="21"/>
                <w:szCs w:val="21"/>
                <w:lang w:val="en-US" w:eastAsia="zh-CN" w:bidi="ar-SA"/>
              </w:rPr>
              <w:t>我们发现</w:t>
            </w:r>
            <w:r>
              <w:rPr>
                <w:rFonts w:hint="eastAsia" w:ascii="宋体" w:hAnsi="宋体" w:eastAsia="宋体" w:cs="Times New Roman"/>
                <w:kern w:val="2"/>
                <w:sz w:val="21"/>
                <w:szCs w:val="21"/>
                <w:lang w:val="en-US" w:eastAsia="zh-CN" w:bidi="ar-SA"/>
              </w:rPr>
              <w:t>相比特殊认知因素，如符号、非符号数量加工，听障儿童的数学能力更依赖于一般认知因素，如空间能力和信息加工速度。空间能力不仅可以直接影响听障儿童的数学表现，还可以通过信息加工速度和智力的链式中介作用间接影响。可见，一般认知能力，如智力、空间能力、信息加工速度等不仅是听障儿童数学表现滞后的重要影响因素，也是其数学教育干预的主要方向。同时，</w:t>
            </w:r>
            <w:r>
              <w:rPr>
                <w:rFonts w:hint="eastAsia" w:ascii="宋体" w:hAnsi="宋体" w:eastAsia="宋体" w:cs="Times New Roman"/>
                <w:b/>
                <w:bCs/>
                <w:kern w:val="2"/>
                <w:sz w:val="21"/>
                <w:szCs w:val="21"/>
                <w:lang w:val="en-US" w:eastAsia="zh-CN" w:bidi="ar-SA"/>
              </w:rPr>
              <w:t>我们也发现</w:t>
            </w:r>
            <w:r>
              <w:rPr>
                <w:rFonts w:hint="eastAsia" w:ascii="宋体" w:hAnsi="宋体" w:eastAsia="宋体" w:cs="Times New Roman"/>
                <w:kern w:val="2"/>
                <w:sz w:val="21"/>
                <w:szCs w:val="21"/>
                <w:lang w:val="en-US" w:eastAsia="zh-CN" w:bidi="ar-SA"/>
              </w:rPr>
              <w:t>，先天聋青少年的数学表现与正常组一样，均优于后天聋青少年。先天聋，是出生时就有听力损失，不像后天聋，有语言交流和听觉经验。先天聋青少年的数学能力之所以优于后天聋，可能要归功于先天聋的视觉优势，且后天聋需要听觉（语言）和视觉表征/编码的转换，也可能导致了其加工的障碍。此外，</w:t>
            </w:r>
            <w:r>
              <w:rPr>
                <w:rFonts w:hint="eastAsia" w:ascii="宋体" w:hAnsi="宋体" w:eastAsia="宋体" w:cs="Times New Roman"/>
                <w:b/>
                <w:bCs/>
                <w:kern w:val="2"/>
                <w:sz w:val="21"/>
                <w:szCs w:val="21"/>
                <w:lang w:val="en-US" w:eastAsia="zh-CN" w:bidi="ar-SA"/>
              </w:rPr>
              <w:t>我们还发现</w:t>
            </w:r>
            <w:r>
              <w:rPr>
                <w:rFonts w:hint="eastAsia" w:ascii="宋体" w:hAnsi="宋体" w:eastAsia="宋体" w:cs="Times New Roman"/>
                <w:kern w:val="2"/>
                <w:sz w:val="21"/>
                <w:szCs w:val="21"/>
                <w:lang w:val="en-US" w:eastAsia="zh-CN" w:bidi="ar-SA"/>
              </w:rPr>
              <w:t>，除了认知因素，个体因素如数学焦虑、数学自我效能感等也会影响听障儿童的数学表现。</w:t>
            </w:r>
          </w:p>
          <w:p>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eastAsia="仿宋_GB2312"/>
                <w:bCs/>
                <w:sz w:val="24"/>
                <w:szCs w:val="24"/>
              </w:rPr>
            </w:pPr>
            <w:r>
              <w:rPr>
                <w:rFonts w:hint="eastAsia" w:ascii="宋体" w:hAnsi="宋体" w:eastAsia="宋体" w:cs="Times New Roman"/>
                <w:kern w:val="2"/>
                <w:sz w:val="21"/>
                <w:szCs w:val="21"/>
                <w:lang w:val="en-US" w:eastAsia="zh-CN" w:bidi="ar-SA"/>
              </w:rPr>
              <w:t>本项目自2012年起至今，历经10年开展听障儿童数学认知研究，首次通过实证研究发现先天聋的数学能力优于后天聋青少年，这不仅从特殊人群的角度进一步揭示了视知觉在数学能力发展中的作用，拓展了数学认知与语言认知关系的研究，也为聋生的数学教育干预提供了理论依据。项目先后受到省自然科学基金等4项省部级项目资助，发表论文15篇，其中8篇代表性论文他引累计</w:t>
            </w:r>
            <w:r>
              <w:rPr>
                <w:rFonts w:hint="eastAsia" w:ascii="宋体" w:hAnsi="宋体" w:cs="Times New Roman"/>
                <w:kern w:val="2"/>
                <w:sz w:val="21"/>
                <w:szCs w:val="21"/>
                <w:lang w:val="en-US" w:eastAsia="zh-CN" w:bidi="ar-SA"/>
              </w:rPr>
              <w:t>54</w:t>
            </w:r>
            <w:r>
              <w:rPr>
                <w:rFonts w:hint="eastAsia" w:ascii="宋体" w:hAnsi="宋体" w:eastAsia="宋体" w:cs="Times New Roman"/>
                <w:kern w:val="2"/>
                <w:sz w:val="21"/>
                <w:szCs w:val="21"/>
                <w:lang w:val="en-US" w:eastAsia="zh-CN" w:bidi="ar-SA"/>
              </w:rPr>
              <w:t>次。成果分别被SCI TOP期刊Psychological Review（影响因子：8）、Current Opinion in Behavioral Sciences（影响因子：5.5）、和国际权威核刊（Journal of Deaf Studies and Deaf Education、Frontiers in Psychology等）引用和介绍，被美国波士顿大学心理学家Santos、意大利学者Tonelli以及北京师范大学心理学教授周新林等知名学者的团队重点推介及引用，受到国内外学术界的</w:t>
            </w:r>
            <w:r>
              <w:rPr>
                <w:rFonts w:hint="eastAsia" w:ascii="宋体" w:hAnsi="宋体" w:cs="Times New Roman"/>
                <w:kern w:val="2"/>
                <w:sz w:val="21"/>
                <w:szCs w:val="21"/>
                <w:lang w:val="en-US" w:eastAsia="zh-CN" w:bidi="ar-SA"/>
              </w:rPr>
              <w:t>广泛</w:t>
            </w:r>
            <w:r>
              <w:rPr>
                <w:rFonts w:hint="eastAsia" w:ascii="宋体" w:hAnsi="宋体" w:eastAsia="宋体" w:cs="Times New Roman"/>
                <w:kern w:val="2"/>
                <w:sz w:val="21"/>
                <w:szCs w:val="21"/>
                <w:lang w:val="en-US" w:eastAsia="zh-CN" w:bidi="ar-SA"/>
              </w:rPr>
              <w:t>关注和肯定。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2269" w:type="dxa"/>
            <w:tcBorders>
              <w:right w:val="single" w:color="auto" w:sz="4" w:space="0"/>
            </w:tcBorders>
            <w:noWrap w:val="0"/>
            <w:vAlign w:val="center"/>
          </w:tcPr>
          <w:p>
            <w:pPr>
              <w:spacing w:line="440" w:lineRule="exact"/>
              <w:jc w:val="center"/>
              <w:rPr>
                <w:rFonts w:eastAsia="仿宋_GB2312"/>
                <w:b/>
                <w:bCs/>
                <w:sz w:val="24"/>
                <w:szCs w:val="24"/>
              </w:rPr>
            </w:pPr>
            <w:r>
              <w:rPr>
                <w:rFonts w:eastAsia="仿宋_GB2312"/>
                <w:b/>
                <w:bCs/>
                <w:sz w:val="24"/>
                <w:szCs w:val="24"/>
              </w:rPr>
              <w:t>提名书</w:t>
            </w:r>
          </w:p>
          <w:p>
            <w:pPr>
              <w:spacing w:line="440" w:lineRule="exact"/>
              <w:jc w:val="center"/>
              <w:rPr>
                <w:rFonts w:hint="eastAsia" w:eastAsia="仿宋_GB2312"/>
                <w:b/>
                <w:bCs/>
                <w:sz w:val="24"/>
                <w:szCs w:val="24"/>
              </w:rPr>
            </w:pPr>
            <w:r>
              <w:rPr>
                <w:rFonts w:eastAsia="仿宋_GB2312"/>
                <w:b/>
                <w:bCs/>
                <w:sz w:val="24"/>
                <w:szCs w:val="24"/>
              </w:rPr>
              <w:t>相关内容</w:t>
            </w:r>
          </w:p>
        </w:tc>
        <w:tc>
          <w:tcPr>
            <w:tcW w:w="7051" w:type="dxa"/>
            <w:tcBorders>
              <w:left w:val="single" w:color="auto" w:sz="4" w:space="0"/>
            </w:tcBorders>
            <w:noWrap w:val="0"/>
            <w:vAlign w:val="center"/>
          </w:tcPr>
          <w:p>
            <w:pPr>
              <w:spacing w:line="440" w:lineRule="exact"/>
              <w:jc w:val="left"/>
              <w:rPr>
                <w:rFonts w:hint="eastAsia" w:ascii="宋体" w:hAnsi="宋体" w:eastAsia="宋体" w:cs="Times New Roman"/>
                <w:kern w:val="2"/>
                <w:sz w:val="21"/>
                <w:szCs w:val="21"/>
                <w:lang w:val="en-US" w:eastAsia="zh-CN" w:bidi="ar-SA"/>
              </w:rPr>
            </w:pPr>
            <w:r>
              <w:rPr>
                <w:rFonts w:eastAsia="仿宋_GB2312"/>
                <w:bCs/>
                <w:sz w:val="24"/>
                <w:szCs w:val="24"/>
              </w:rPr>
              <w:t>提名书的代表性论文专著目录、主要知识产权和标准规范目录。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932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0" w:hanging="420" w:hangingChars="200"/>
              <w:jc w:val="left"/>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Chen LL</w:t>
            </w:r>
            <w:r>
              <w:rPr>
                <w:vertAlign w:val="superscript"/>
              </w:rPr>
              <w:t>*</w:t>
            </w:r>
            <w:r>
              <w:rPr>
                <w:rFonts w:hint="default" w:ascii="Times New Roman" w:hAnsi="Times New Roman" w:cs="Times New Roman"/>
                <w:sz w:val="21"/>
                <w:szCs w:val="21"/>
                <w:lang w:eastAsia="zh-CN"/>
              </w:rPr>
              <w:t>, Wang Y</w:t>
            </w:r>
            <w:r>
              <w:rPr>
                <w:rFonts w:hint="default"/>
                <w:vertAlign w:val="superscript"/>
                <w:lang w:eastAsia="zh-CN"/>
              </w:rPr>
              <w:t>*</w:t>
            </w:r>
            <w:r>
              <w:rPr>
                <w:rFonts w:hint="default" w:ascii="Times New Roman" w:hAnsi="Times New Roman" w:cs="Times New Roman"/>
                <w:sz w:val="21"/>
                <w:szCs w:val="21"/>
                <w:lang w:eastAsia="zh-CN"/>
              </w:rPr>
              <w:t>. 202</w:t>
            </w:r>
            <w:r>
              <w:rPr>
                <w:rFonts w:hint="eastAsia" w:cs="Times New Roman"/>
                <w:sz w:val="21"/>
                <w:szCs w:val="21"/>
                <w:lang w:val="en-US" w:eastAsia="zh-CN"/>
              </w:rPr>
              <w:t>0</w:t>
            </w:r>
            <w:r>
              <w:rPr>
                <w:rFonts w:hint="default" w:ascii="Times New Roman" w:hAnsi="Times New Roman" w:cs="Times New Roman"/>
                <w:sz w:val="21"/>
                <w:szCs w:val="21"/>
                <w:lang w:eastAsia="zh-CN"/>
              </w:rPr>
              <w:t xml:space="preserve">. The contribution of general cognitive abilities and specific numerical abilities to mathematics achievement in students who are deaf or hard-of-hearing. Journal of Developmental and Physical Disabilities , 33:771-787. </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Chen LL</w:t>
            </w:r>
            <w:r>
              <w:rPr>
                <w:vertAlign w:val="superscript"/>
              </w:rPr>
              <w:t>*</w:t>
            </w:r>
            <w:r>
              <w:rPr>
                <w:rFonts w:hint="eastAsia" w:ascii="Times New Roman" w:hAnsi="Times New Roman" w:eastAsia="宋体" w:cs="Times New Roman"/>
                <w:kern w:val="2"/>
                <w:sz w:val="21"/>
                <w:szCs w:val="21"/>
                <w:lang w:val="en-US" w:eastAsia="zh-CN" w:bidi="ar-SA"/>
              </w:rPr>
              <w:t xml:space="preserve">, Wang Y, Wen HB. 2021. Numerical magnitude processing in deaf adolescents and its contribution to arithmetical ability. Frontiers in Psychology, 584183. </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Chen LL. 2022. Spatial ability and mathematics achievement in deaf children: The mediating role of processing speed and intelligence. Journal of Developmental and Physical Disabilities, 34(3):399-415.</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陈丽兰</w:t>
            </w:r>
            <w:r>
              <w:rPr>
                <w:vertAlign w:val="superscript"/>
              </w:rPr>
              <w:t>*</w:t>
            </w:r>
            <w:r>
              <w:rPr>
                <w:rFonts w:hint="eastAsia"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王雁，肖少北. 2019. 智力在听障儿童信息加工速度与数量加工间的中介作用. 中华行为医学与脑科学杂志，28(10):925-929</w:t>
            </w:r>
            <w:r>
              <w:rPr>
                <w:rFonts w:hint="eastAsia" w:cs="Times New Roman"/>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cs="Times New Roman"/>
                <w:kern w:val="2"/>
                <w:sz w:val="21"/>
                <w:szCs w:val="21"/>
                <w:lang w:val="en-US" w:eastAsia="zh-CN" w:bidi="ar-SA"/>
              </w:rPr>
            </w:pPr>
            <w:r>
              <w:rPr>
                <w:rFonts w:hint="default" w:cs="Times New Roman"/>
                <w:kern w:val="2"/>
                <w:sz w:val="21"/>
                <w:szCs w:val="21"/>
                <w:lang w:val="en-US" w:eastAsia="zh-CN" w:bidi="ar-SA"/>
              </w:rPr>
              <w:t>陈丽兰</w:t>
            </w:r>
            <w:r>
              <w:rPr>
                <w:rFonts w:hint="eastAsia" w:cs="Times New Roman"/>
                <w:kern w:val="2"/>
                <w:sz w:val="21"/>
                <w:szCs w:val="21"/>
                <w:lang w:val="en-US" w:eastAsia="zh-CN" w:bidi="ar-SA"/>
              </w:rPr>
              <w:t>,</w:t>
            </w:r>
            <w:r>
              <w:rPr>
                <w:rFonts w:hint="default" w:cs="Times New Roman"/>
                <w:kern w:val="2"/>
                <w:sz w:val="21"/>
                <w:szCs w:val="21"/>
                <w:lang w:val="en-US" w:eastAsia="zh-CN" w:bidi="ar-SA"/>
              </w:rPr>
              <w:t>王雁</w:t>
            </w:r>
            <w:r>
              <w:rPr>
                <w:vertAlign w:val="superscript"/>
              </w:rPr>
              <w:t>*</w:t>
            </w:r>
            <w:r>
              <w:rPr>
                <w:rFonts w:hint="default" w:cs="Times New Roman"/>
                <w:kern w:val="2"/>
                <w:sz w:val="21"/>
                <w:szCs w:val="21"/>
                <w:lang w:val="en-US" w:eastAsia="zh-CN" w:bidi="ar-SA"/>
              </w:rPr>
              <w:t>. 2018. 数学焦虑对听障学生数学成绩的影响:数学自我效能感的中介作用.基础教育，15(5):98-105</w:t>
            </w:r>
            <w:r>
              <w:rPr>
                <w:rFonts w:hint="eastAsia" w:cs="Times New Roman"/>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cs="Times New Roman"/>
                <w:kern w:val="2"/>
                <w:sz w:val="21"/>
                <w:szCs w:val="21"/>
                <w:lang w:val="en-US" w:eastAsia="zh-CN" w:bidi="ar-SA"/>
              </w:rPr>
            </w:pPr>
            <w:r>
              <w:rPr>
                <w:rFonts w:hint="default" w:cs="Times New Roman"/>
                <w:kern w:val="2"/>
                <w:sz w:val="21"/>
                <w:szCs w:val="21"/>
                <w:lang w:val="en-US" w:eastAsia="zh-CN" w:bidi="ar-SA"/>
              </w:rPr>
              <w:t>陈丽兰</w:t>
            </w:r>
            <w:r>
              <w:rPr>
                <w:rFonts w:hint="eastAsia" w:cs="Times New Roman"/>
                <w:kern w:val="2"/>
                <w:sz w:val="21"/>
                <w:szCs w:val="21"/>
                <w:lang w:val="en-US" w:eastAsia="zh-CN" w:bidi="ar-SA"/>
              </w:rPr>
              <w:t>,</w:t>
            </w:r>
            <w:r>
              <w:rPr>
                <w:rFonts w:hint="default" w:cs="Times New Roman"/>
                <w:kern w:val="2"/>
                <w:sz w:val="21"/>
                <w:szCs w:val="21"/>
                <w:lang w:val="en-US" w:eastAsia="zh-CN" w:bidi="ar-SA"/>
              </w:rPr>
              <w:t>王雁</w:t>
            </w:r>
            <w:r>
              <w:rPr>
                <w:vertAlign w:val="superscript"/>
              </w:rPr>
              <w:t>*</w:t>
            </w:r>
            <w:r>
              <w:rPr>
                <w:rFonts w:hint="default" w:cs="Times New Roman"/>
                <w:kern w:val="2"/>
                <w:sz w:val="21"/>
                <w:szCs w:val="21"/>
                <w:lang w:val="en-US" w:eastAsia="zh-CN" w:bidi="ar-SA"/>
              </w:rPr>
              <w:t>. 2018. 3~6年级听障儿童语义加工的发展特点. 中国特殊教育，217(7):35-40</w:t>
            </w:r>
            <w:r>
              <w:rPr>
                <w:rFonts w:hint="eastAsia" w:cs="Times New Roman"/>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cs="Times New Roman"/>
                <w:kern w:val="2"/>
                <w:sz w:val="21"/>
                <w:szCs w:val="21"/>
                <w:lang w:val="en-US" w:eastAsia="zh-CN" w:bidi="ar-SA"/>
              </w:rPr>
            </w:pPr>
            <w:r>
              <w:rPr>
                <w:rFonts w:hint="default" w:cs="Times New Roman"/>
                <w:kern w:val="2"/>
                <w:sz w:val="21"/>
                <w:szCs w:val="21"/>
                <w:lang w:val="en-US" w:eastAsia="zh-CN" w:bidi="ar-SA"/>
              </w:rPr>
              <w:t>陈丽兰. 2012. 9～12 岁儿童估算策略选择的发展特点. 数学教育学报，22(1): 48-51</w:t>
            </w:r>
            <w:r>
              <w:rPr>
                <w:rFonts w:hint="eastAsia" w:cs="Times New Roman"/>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20" w:lineRule="exact"/>
              <w:ind w:left="0" w:hanging="420" w:hangingChars="200"/>
              <w:textAlignment w:val="auto"/>
              <w:rPr>
                <w:rFonts w:hint="eastAsia" w:ascii="Times New Roman" w:hAnsi="Times New Roman" w:eastAsia="宋体" w:cs="Times New Roman"/>
                <w:kern w:val="2"/>
                <w:sz w:val="21"/>
                <w:szCs w:val="21"/>
                <w:lang w:val="en-US" w:eastAsia="zh-CN" w:bidi="ar-SA"/>
              </w:rPr>
            </w:pPr>
            <w:r>
              <w:rPr>
                <w:rFonts w:hint="default" w:cs="Times New Roman"/>
                <w:kern w:val="2"/>
                <w:sz w:val="21"/>
                <w:szCs w:val="21"/>
                <w:lang w:val="en-US" w:eastAsia="zh-CN" w:bidi="ar-SA"/>
              </w:rPr>
              <w:t>陈丽兰</w:t>
            </w:r>
            <w:r>
              <w:rPr>
                <w:vertAlign w:val="superscript"/>
              </w:rPr>
              <w:t>*</w:t>
            </w:r>
            <w:r>
              <w:rPr>
                <w:rFonts w:hint="eastAsia" w:cs="Times New Roman"/>
                <w:kern w:val="2"/>
                <w:sz w:val="21"/>
                <w:szCs w:val="21"/>
                <w:lang w:val="en-US" w:eastAsia="zh-CN" w:bidi="ar-SA"/>
              </w:rPr>
              <w:t>,</w:t>
            </w:r>
            <w:r>
              <w:rPr>
                <w:rFonts w:hint="default" w:cs="Times New Roman"/>
                <w:kern w:val="2"/>
                <w:sz w:val="21"/>
                <w:szCs w:val="21"/>
                <w:lang w:val="en-US" w:eastAsia="zh-CN" w:bidi="ar-SA"/>
              </w:rPr>
              <w:t>王亚茹. 2020. 听力障碍中学生执行功能发展与应对方式的关系.中国学校卫生，41(3) :457-460.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5" w:hRule="atLeast"/>
          <w:jc w:val="center"/>
        </w:trPr>
        <w:tc>
          <w:tcPr>
            <w:tcW w:w="2269" w:type="dxa"/>
            <w:noWrap w:val="0"/>
            <w:vAlign w:val="center"/>
          </w:tcPr>
          <w:p>
            <w:pPr>
              <w:spacing w:line="440" w:lineRule="exact"/>
              <w:jc w:val="center"/>
              <w:rPr>
                <w:rFonts w:eastAsia="仿宋_GB2312"/>
                <w:b/>
                <w:bCs/>
                <w:sz w:val="24"/>
                <w:szCs w:val="24"/>
              </w:rPr>
            </w:pPr>
            <w:r>
              <w:rPr>
                <w:rFonts w:eastAsia="仿宋_GB2312"/>
                <w:b/>
                <w:bCs/>
                <w:sz w:val="24"/>
                <w:szCs w:val="24"/>
              </w:rPr>
              <w:t>主要完成人</w:t>
            </w:r>
          </w:p>
        </w:tc>
        <w:tc>
          <w:tcPr>
            <w:tcW w:w="7051" w:type="dxa"/>
            <w:noWrap w:val="0"/>
            <w:vAlign w:val="center"/>
          </w:tcPr>
          <w:p>
            <w:pPr>
              <w:spacing w:line="440" w:lineRule="exact"/>
              <w:rPr>
                <w:rFonts w:eastAsia="仿宋_GB2312"/>
                <w:bCs/>
                <w:sz w:val="24"/>
                <w:szCs w:val="24"/>
              </w:rPr>
            </w:pPr>
            <w:r>
              <w:rPr>
                <w:rFonts w:hint="eastAsia" w:eastAsia="仿宋_GB2312"/>
                <w:bCs/>
                <w:sz w:val="24"/>
                <w:szCs w:val="24"/>
                <w:lang w:val="en-US" w:eastAsia="zh-CN"/>
              </w:rPr>
              <w:t>陈丽兰</w:t>
            </w:r>
            <w:r>
              <w:rPr>
                <w:rFonts w:eastAsia="仿宋_GB2312"/>
                <w:bCs/>
                <w:sz w:val="24"/>
                <w:szCs w:val="24"/>
              </w:rPr>
              <w:t>，</w:t>
            </w:r>
            <w:r>
              <w:rPr>
                <w:rFonts w:hint="eastAsia" w:eastAsia="仿宋_GB2312"/>
                <w:bCs/>
                <w:sz w:val="24"/>
                <w:szCs w:val="24"/>
                <w:lang w:val="en-US" w:eastAsia="zh-CN"/>
              </w:rPr>
              <w:t>教授</w:t>
            </w:r>
            <w:r>
              <w:rPr>
                <w:rFonts w:eastAsia="仿宋_GB2312"/>
                <w:bCs/>
                <w:sz w:val="24"/>
                <w:szCs w:val="24"/>
              </w:rPr>
              <w:t>，</w:t>
            </w:r>
            <w:r>
              <w:rPr>
                <w:rFonts w:hint="eastAsia" w:eastAsia="仿宋_GB2312"/>
                <w:bCs/>
                <w:sz w:val="24"/>
                <w:szCs w:val="24"/>
                <w:lang w:val="en-US" w:eastAsia="zh-CN"/>
              </w:rPr>
              <w:t>海南师范大学</w:t>
            </w:r>
            <w:r>
              <w:rPr>
                <w:rFonts w:eastAsia="仿宋_GB2312"/>
                <w:bCs/>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269" w:type="dxa"/>
            <w:noWrap w:val="0"/>
            <w:vAlign w:val="center"/>
          </w:tcPr>
          <w:p>
            <w:pPr>
              <w:spacing w:line="440" w:lineRule="exact"/>
              <w:jc w:val="center"/>
              <w:rPr>
                <w:rFonts w:eastAsia="仿宋_GB2312"/>
                <w:b/>
                <w:bCs/>
                <w:sz w:val="24"/>
                <w:szCs w:val="24"/>
                <w:lang w:val="en"/>
              </w:rPr>
            </w:pPr>
            <w:r>
              <w:rPr>
                <w:rFonts w:eastAsia="仿宋_GB2312"/>
                <w:b/>
                <w:bCs/>
                <w:sz w:val="24"/>
                <w:szCs w:val="24"/>
              </w:rPr>
              <w:t>主要完成单位</w:t>
            </w:r>
          </w:p>
        </w:tc>
        <w:tc>
          <w:tcPr>
            <w:tcW w:w="7051" w:type="dxa"/>
            <w:noWrap w:val="0"/>
            <w:vAlign w:val="center"/>
          </w:tcPr>
          <w:p>
            <w:pPr>
              <w:spacing w:line="440" w:lineRule="exact"/>
              <w:jc w:val="left"/>
              <w:rPr>
                <w:rFonts w:eastAsia="仿宋_GB2312"/>
                <w:bCs/>
                <w:sz w:val="24"/>
                <w:szCs w:val="24"/>
              </w:rPr>
            </w:pPr>
            <w:r>
              <w:rPr>
                <w:rFonts w:hint="eastAsia" w:eastAsia="仿宋_GB2312"/>
                <w:bCs/>
                <w:sz w:val="24"/>
                <w:szCs w:val="24"/>
                <w:lang w:val="en-US" w:eastAsia="zh-CN"/>
              </w:rPr>
              <w:t>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2269" w:type="dxa"/>
            <w:noWrap w:val="0"/>
            <w:vAlign w:val="center"/>
          </w:tcPr>
          <w:p>
            <w:pPr>
              <w:spacing w:line="440" w:lineRule="exact"/>
              <w:jc w:val="center"/>
              <w:rPr>
                <w:rFonts w:eastAsia="仿宋_GB2312"/>
                <w:b/>
                <w:bCs/>
                <w:sz w:val="24"/>
                <w:szCs w:val="24"/>
              </w:rPr>
            </w:pPr>
          </w:p>
        </w:tc>
        <w:tc>
          <w:tcPr>
            <w:tcW w:w="7051" w:type="dxa"/>
            <w:noWrap w:val="0"/>
            <w:vAlign w:val="center"/>
          </w:tcPr>
          <w:p>
            <w:pPr>
              <w:spacing w:line="440" w:lineRule="exact"/>
              <w:jc w:val="left"/>
              <w:rPr>
                <w:rFonts w:eastAsia="仿宋"/>
                <w:bCs/>
                <w:sz w:val="24"/>
                <w:szCs w:val="24"/>
              </w:rPr>
            </w:pPr>
          </w:p>
        </w:tc>
      </w:tr>
    </w:tbl>
    <w:p>
      <w:r>
        <w:rPr>
          <w:rFonts w:hint="eastAsia" w:ascii="仿宋_GB2312" w:hAnsi="仿宋_GB2312" w:eastAsia="仿宋_GB2312" w:cs="仿宋_GB2312"/>
          <w:sz w:val="24"/>
          <w:szCs w:val="24"/>
        </w:rPr>
        <w:t>说明：国际科学技术合作奖可不用公示，其余奖项必须公示</w:t>
      </w:r>
      <w:r>
        <w:rPr>
          <w:rFonts w:hint="eastAsia" w:ascii="仿宋_GB2312" w:hAnsi="仿宋_GB2312" w:eastAsia="仿宋_GB2312" w:cs="仿宋_GB2312"/>
          <w:b/>
          <w:bCs/>
          <w:sz w:val="24"/>
          <w:szCs w:val="24"/>
        </w:rPr>
        <w:t>至少7个</w:t>
      </w:r>
      <w:r>
        <w:rPr>
          <w:rFonts w:hint="eastAsia" w:ascii="仿宋_GB2312" w:hAnsi="仿宋_GB2312" w:eastAsia="仿宋_GB2312" w:cs="仿宋_GB2312"/>
          <w:b/>
          <w:bCs/>
          <w:sz w:val="24"/>
          <w:szCs w:val="24"/>
          <w:u w:val="wavyHeavy"/>
        </w:rPr>
        <w:t>工作日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MDRlNDM4Mzk3ODkwOGZlMzdmMTQyMjIyODI1ZDkifQ=="/>
    <w:docVar w:name="KSO_WPS_MARK_KEY" w:val="7e38905e-b313-499e-aafd-ea65bff51375"/>
  </w:docVars>
  <w:rsids>
    <w:rsidRoot w:val="00172A27"/>
    <w:rsid w:val="082D0D5E"/>
    <w:rsid w:val="0EA83079"/>
    <w:rsid w:val="0F4945B2"/>
    <w:rsid w:val="157C3211"/>
    <w:rsid w:val="23454FED"/>
    <w:rsid w:val="2E4063A9"/>
    <w:rsid w:val="51E6576C"/>
    <w:rsid w:val="61F16800"/>
    <w:rsid w:val="632A3AC1"/>
    <w:rsid w:val="63D565E3"/>
    <w:rsid w:val="7D396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pPr>
      <w:spacing w:line="360" w:lineRule="auto"/>
      <w:ind w:firstLine="480" w:firstLineChars="200"/>
    </w:pPr>
    <w:rPr>
      <w:rFonts w:ascii="仿宋_GB2312"/>
      <w:sz w:val="24"/>
    </w:rPr>
  </w:style>
  <w:style w:type="character" w:customStyle="1" w:styleId="6">
    <w:name w:val="title1"/>
    <w:qFormat/>
    <w:uiPriority w:val="0"/>
    <w:rPr>
      <w:b/>
      <w:bCs/>
      <w:color w:val="9999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1994</Words>
  <Characters>2648</Characters>
  <Lines>1</Lines>
  <Paragraphs>1</Paragraphs>
  <TotalTime>2569</TotalTime>
  <ScaleCrop>false</ScaleCrop>
  <LinksUpToDate>false</LinksUpToDate>
  <CharactersWithSpaces>2793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2023-12-11T11:20:00Z</dcterms:created>
  <dc:creator>lenovo</dc:creator>
  <cp:lastModifiedBy>借山而居</cp:lastModifiedBy>
  <dcterms:modified xsi:type="dcterms:W3CDTF">2024-01-03T07:51:53Z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74F3E7E4271945F695A12F975CDBC59F_13</vt:lpwstr>
  </property>
</Properties>
</file>