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napToGrid w:val="0"/>
        <w:spacing w:line="360" w:lineRule="auto"/>
        <w:jc w:val="left"/>
        <w:outlineLvl w:val="0"/>
        <w:rPr>
          <w:rFonts w:ascii="宋体" w:hAnsi="宋体"/>
          <w:color w:val="000000"/>
          <w:sz w:val="32"/>
          <w:szCs w:val="32"/>
        </w:rPr>
      </w:pPr>
      <w:bookmarkStart w:id="2" w:name="_GoBack"/>
      <w:bookmarkEnd w:id="2"/>
      <w:bookmarkStart w:id="0" w:name="_Toc530473016"/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附件1</w:t>
      </w:r>
    </w:p>
    <w:p>
      <w:pPr>
        <w:spacing w:line="100" w:lineRule="exact"/>
        <w:jc w:val="center"/>
        <w:outlineLvl w:val="0"/>
        <w:rPr>
          <w:rFonts w:ascii="宋体" w:hAnsi="宋体"/>
          <w:color w:val="000000"/>
          <w:sz w:val="36"/>
          <w:szCs w:val="36"/>
        </w:rPr>
      </w:pPr>
    </w:p>
    <w:bookmarkEnd w:id="0"/>
    <w:p>
      <w:pPr>
        <w:spacing w:line="740" w:lineRule="exact"/>
        <w:jc w:val="center"/>
        <w:rPr>
          <w:rFonts w:ascii="方正小标宋_GBK" w:hAnsi="方正小标宋_GBK" w:eastAsia="方正小标宋_GBK" w:cs="方正小标宋_GBK"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2022年度海南省科学技术奖提名公示内容</w:t>
      </w:r>
    </w:p>
    <w:p>
      <w:pPr>
        <w:spacing w:line="100" w:lineRule="exact"/>
        <w:jc w:val="center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440" w:lineRule="exact"/>
        <w:outlineLvl w:val="1"/>
        <w:rPr>
          <w:rFonts w:eastAsia="仿宋_GB2312"/>
          <w:sz w:val="28"/>
          <w:szCs w:val="24"/>
        </w:rPr>
      </w:pPr>
      <w:r>
        <w:rPr>
          <w:rFonts w:eastAsia="仿宋_GB2312"/>
          <w:sz w:val="28"/>
          <w:szCs w:val="24"/>
        </w:rPr>
        <w:t>提名奖项：自然科学奖</w:t>
      </w:r>
      <w:r>
        <w:rPr>
          <w:rFonts w:hint="eastAsia" w:eastAsia="仿宋_GB2312"/>
          <w:sz w:val="28"/>
          <w:szCs w:val="24"/>
        </w:rPr>
        <w:t xml:space="preserve"> </w:t>
      </w:r>
    </w:p>
    <w:tbl>
      <w:tblPr>
        <w:tblStyle w:val="5"/>
        <w:tblW w:w="906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70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Style w:val="7"/>
                <w:rFonts w:eastAsia="仿宋_GB2312"/>
                <w:b w:val="0"/>
                <w:color w:val="auto"/>
                <w:sz w:val="28"/>
              </w:rPr>
            </w:pPr>
            <w:r>
              <w:rPr>
                <w:rStyle w:val="7"/>
                <w:rFonts w:hint="eastAsia" w:eastAsia="仿宋_GB2312"/>
                <w:b w:val="0"/>
                <w:bCs w:val="0"/>
                <w:color w:val="auto"/>
                <w:sz w:val="28"/>
              </w:rPr>
              <w:t>项目</w:t>
            </w:r>
            <w:r>
              <w:rPr>
                <w:rStyle w:val="7"/>
                <w:rFonts w:eastAsia="仿宋_GB2312"/>
                <w:b w:val="0"/>
                <w:bCs w:val="0"/>
                <w:color w:val="auto"/>
                <w:sz w:val="28"/>
              </w:rPr>
              <w:t>名称</w:t>
            </w:r>
          </w:p>
        </w:tc>
        <w:tc>
          <w:tcPr>
            <w:tcW w:w="7087" w:type="dxa"/>
            <w:vAlign w:val="center"/>
          </w:tcPr>
          <w:p>
            <w:pPr>
              <w:pStyle w:val="9"/>
              <w:ind w:left="22" w:firstLine="0" w:firstLineChars="0"/>
              <w:contextualSpacing/>
              <w:rPr>
                <w:rFonts w:ascii="仿宋_GB2312" w:hAnsi="仿宋_GB2312" w:cs="仿宋_GB2312"/>
                <w:bCs/>
                <w:color w:val="000000"/>
                <w:szCs w:val="28"/>
              </w:rPr>
            </w:pPr>
            <w:r>
              <w:rPr>
                <w:rFonts w:hint="eastAsia" w:eastAsia="仿宋_GB2312"/>
                <w:sz w:val="24"/>
                <w:szCs w:val="32"/>
              </w:rPr>
              <w:t>碳基纳米功能复合材料的合成及其在电化学中的应用研究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Style w:val="7"/>
                <w:rFonts w:eastAsia="仿宋_GB2312"/>
                <w:b w:val="0"/>
                <w:color w:val="auto"/>
                <w:sz w:val="28"/>
              </w:rPr>
            </w:pPr>
            <w:r>
              <w:rPr>
                <w:rStyle w:val="7"/>
                <w:rFonts w:eastAsia="仿宋_GB2312"/>
                <w:b w:val="0"/>
                <w:bCs w:val="0"/>
                <w:color w:val="auto"/>
                <w:sz w:val="28"/>
              </w:rPr>
              <w:t>提名等级</w:t>
            </w:r>
          </w:p>
        </w:tc>
        <w:tc>
          <w:tcPr>
            <w:tcW w:w="7087" w:type="dxa"/>
            <w:vAlign w:val="center"/>
          </w:tcPr>
          <w:p>
            <w:pPr>
              <w:jc w:val="left"/>
              <w:rPr>
                <w:rStyle w:val="7"/>
                <w:rFonts w:eastAsia="仿宋_GB2312"/>
                <w:b w:val="0"/>
                <w:color w:val="auto"/>
                <w:sz w:val="28"/>
              </w:rPr>
            </w:pPr>
            <w:r>
              <w:rPr>
                <w:rFonts w:hint="eastAsia" w:eastAsia="仿宋_GB2312"/>
                <w:sz w:val="24"/>
                <w:szCs w:val="32"/>
              </w:rPr>
              <w:t>自然科学奖二等奖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bCs/>
                <w:sz w:val="28"/>
                <w:szCs w:val="28"/>
                <w:lang w:val="en"/>
              </w:rPr>
            </w:pPr>
            <w:r>
              <w:rPr>
                <w:rStyle w:val="7"/>
                <w:rFonts w:eastAsia="仿宋_GB2312"/>
                <w:b w:val="0"/>
                <w:color w:val="auto"/>
                <w:sz w:val="28"/>
                <w:szCs w:val="28"/>
              </w:rPr>
              <w:t>提名单位</w:t>
            </w:r>
          </w:p>
        </w:tc>
        <w:tc>
          <w:tcPr>
            <w:tcW w:w="7087" w:type="dxa"/>
            <w:vAlign w:val="center"/>
          </w:tcPr>
          <w:p>
            <w:pPr>
              <w:contextualSpacing/>
              <w:rPr>
                <w:bCs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32"/>
              </w:rPr>
              <w:t>海南师范大学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4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Style w:val="7"/>
                <w:rFonts w:eastAsia="仿宋_GB2312"/>
                <w:b w:val="0"/>
                <w:color w:val="auto"/>
                <w:sz w:val="28"/>
                <w:szCs w:val="28"/>
              </w:rPr>
              <w:t>提名意见</w:t>
            </w:r>
          </w:p>
        </w:tc>
        <w:tc>
          <w:tcPr>
            <w:tcW w:w="7087" w:type="dxa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bookmarkStart w:id="1" w:name="_Hlk120777051"/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该项目聚焦于功能材料的设计与制备，并探索其在电化学传感及电化学催化领域中的应用。本项目的主要创新工作包括：（1）设计结构新颖的碳基纳米功能复合材料，对其合成方法进行了优化，表征了结构性能；（2）将碳基纳米材料应用于电化学传感器的制备、活性小分子的检测以及电催化性能的研究；（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）将设计的传感器件应用于实际样品的检测，验证了其实际应用的可能性。</w:t>
            </w:r>
          </w:p>
          <w:p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该研究项目共获得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项国家自然科学基金项目、1项海南省自然科技基金创新团队项目、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项海南省自然科学基金项目及其他项目的资助，科研团队通过多年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系统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深入研究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，取得了一系列创新性的研究成果，共发表SCI收录论文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69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篇，论文获得广泛引用和积极评价。</w:t>
            </w:r>
          </w:p>
          <w:p>
            <w:pPr>
              <w:spacing w:line="400" w:lineRule="exact"/>
              <w:ind w:firstLine="480" w:firstLineChars="200"/>
              <w:rPr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提名该项目为海南省自然科学</w:t>
            </w:r>
            <w:r>
              <w:rPr>
                <w:rFonts w:hint="eastAsia" w:eastAsia="仿宋_GB2312"/>
                <w:sz w:val="24"/>
                <w:szCs w:val="32"/>
              </w:rPr>
              <w:t>奖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二等奖。</w:t>
            </w:r>
            <w:bookmarkEnd w:id="1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1980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bCs/>
                <w:sz w:val="28"/>
                <w:szCs w:val="24"/>
              </w:rPr>
            </w:pPr>
            <w:r>
              <w:rPr>
                <w:rFonts w:hint="eastAsia" w:eastAsia="仿宋_GB2312"/>
                <w:bCs/>
                <w:sz w:val="28"/>
                <w:szCs w:val="24"/>
              </w:rPr>
              <w:t>项目简介</w:t>
            </w:r>
          </w:p>
        </w:tc>
        <w:tc>
          <w:tcPr>
            <w:tcW w:w="7087" w:type="dxa"/>
            <w:tcBorders>
              <w:left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本项目合成和应用系列具有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优良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光电性能的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碳基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功能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纳米复合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材料，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构建电化学催化界面，开展了电化学性能研究等方面的研究，并应用到药物分析、酶传感器、基因传感器、电催化等方面。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（1）基于功能化石墨烯基复合材料的电化学药物分析。制备了系列具有丰富多孔结构的石墨烯复合材料，采用多种测试手段对其结构形貌进行了表征，进一步构建新型功能传感界面，用于多种电化学活性药物分子的高灵敏分析。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（2）基于功能化碳基复合材料的电化学酶传感器。结合石墨烯复合材料的大的表面积、丰富的孔道结构、优异的导电性等特点，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采用层层涂布法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等方法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所合成的纳米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功能材料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与多种氧化还原酶组合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构建电化学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酶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传感界面用于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目标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小分子的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灵敏分析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并在实际样品检测中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取得较好结果。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（3）高性能碳基电催化剂的设计、合成及性能研究。通过合理地设计纳米催化剂的结构与组成，合成了一系列高性能的电催化剂。同时结合电化学以及理化性质研究，深入探讨了催化剂催化的动力学过程，活性中心及相应的催化反应机制。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（4）基于碳基复合材料的电化学基因传感器的研究：设计了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性能优良的光电活性材料，以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特征基因序列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为生物探针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识别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分子，设计多种信号放大的传感方式，制备了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可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用于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靶标物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高灵敏度、高选择性检测的电化学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基因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传感器。</w:t>
            </w:r>
          </w:p>
          <w:p>
            <w:pPr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（5）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本项目得到了国家自然科学基金、海南省自然科学基金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等多项基金项目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的支持，论文发表在</w:t>
            </w:r>
            <w:r>
              <w:rPr>
                <w:rFonts w:eastAsia="仿宋_GB2312"/>
                <w:color w:val="000000"/>
                <w:sz w:val="24"/>
                <w:szCs w:val="24"/>
              </w:rPr>
              <w:t>Sensors and Actuators B Chemical，Materials Science Engineering C，Microchimica Acta，</w:t>
            </w:r>
            <w:r>
              <w:rPr>
                <w:sz w:val="24"/>
                <w:szCs w:val="24"/>
              </w:rPr>
              <w:t>Journal of The Electrochemical Society, International Journal of Hydrogen Energy,</w:t>
            </w:r>
            <w:r>
              <w:rPr>
                <w:rFonts w:eastAsia="楷体"/>
                <w:sz w:val="24"/>
                <w:szCs w:val="24"/>
                <w:lang w:val="de-DE"/>
              </w:rPr>
              <w:t xml:space="preserve"> ACS Sustainable Chemistry and Engineering, </w:t>
            </w:r>
            <w:r>
              <w:rPr>
                <w:color w:val="1A1A1A"/>
                <w:sz w:val="24"/>
                <w:szCs w:val="24"/>
              </w:rPr>
              <w:t>Analytica Chimica Acta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等杂志上。本项目的开展拓展了多种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碳基纳米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功能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复合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材料的制备方法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及其在电化学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领域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的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应用。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  <w:jc w:val="center"/>
        </w:trPr>
        <w:tc>
          <w:tcPr>
            <w:tcW w:w="1980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bCs/>
                <w:sz w:val="28"/>
                <w:szCs w:val="24"/>
              </w:rPr>
            </w:pPr>
            <w:r>
              <w:rPr>
                <w:rFonts w:eastAsia="仿宋_GB2312"/>
                <w:bCs/>
                <w:sz w:val="28"/>
                <w:szCs w:val="24"/>
              </w:rPr>
              <w:t>提名书</w:t>
            </w:r>
          </w:p>
          <w:p>
            <w:pPr>
              <w:spacing w:line="440" w:lineRule="exact"/>
              <w:jc w:val="center"/>
              <w:rPr>
                <w:rFonts w:eastAsia="仿宋_GB2312"/>
                <w:bCs/>
                <w:sz w:val="28"/>
                <w:szCs w:val="24"/>
              </w:rPr>
            </w:pPr>
            <w:r>
              <w:rPr>
                <w:rFonts w:eastAsia="仿宋_GB2312"/>
                <w:bCs/>
                <w:sz w:val="28"/>
                <w:szCs w:val="24"/>
              </w:rPr>
              <w:t>相关内容</w:t>
            </w:r>
          </w:p>
        </w:tc>
        <w:tc>
          <w:tcPr>
            <w:tcW w:w="7087" w:type="dxa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ind w:firstLine="0" w:firstLineChars="0"/>
              <w:contextualSpacing/>
              <w:jc w:val="center"/>
              <w:rPr>
                <w:sz w:val="24"/>
                <w:szCs w:val="24"/>
              </w:rPr>
            </w:pPr>
          </w:p>
          <w:p>
            <w:pPr>
              <w:pStyle w:val="9"/>
              <w:widowControl/>
              <w:numPr>
                <w:ilvl w:val="0"/>
                <w:numId w:val="1"/>
              </w:numPr>
              <w:autoSpaceDE w:val="0"/>
              <w:autoSpaceDN w:val="0"/>
              <w:ind w:firstLineChars="0"/>
              <w:contextualSpacing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Xueliang Niu, Zuorui Wen, Xiaobao Li, Wenshu Zhao, Xiaoyan Li, Yaqi Huang, Qiutong Li, Guangjiu Li, Wei Sun</w:t>
            </w:r>
            <w:r>
              <w:rPr>
                <w:bCs/>
                <w:sz w:val="24"/>
                <w:szCs w:val="24"/>
                <w:vertAlign w:val="superscript"/>
                <w:lang w:val="de-DE"/>
              </w:rPr>
              <w:t>*</w:t>
            </w:r>
            <w:r>
              <w:rPr>
                <w:sz w:val="24"/>
                <w:szCs w:val="24"/>
                <w:lang w:val="de-DE"/>
              </w:rPr>
              <w:t xml:space="preserve">, Fabrication of graphene and gold nanoparticle modified acupuncture needle electrode and its application in rutin analysis, </w:t>
            </w:r>
            <w:r>
              <w:rPr>
                <w:i/>
                <w:iCs/>
                <w:sz w:val="24"/>
                <w:szCs w:val="24"/>
                <w:lang w:val="de-DE"/>
              </w:rPr>
              <w:t>Sensors and Actuators B Chemical</w:t>
            </w:r>
            <w:r>
              <w:rPr>
                <w:sz w:val="24"/>
                <w:szCs w:val="24"/>
                <w:lang w:val="de-DE"/>
              </w:rPr>
              <w:t>, 2018, 255:471-477.</w:t>
            </w:r>
          </w:p>
          <w:p>
            <w:pPr>
              <w:pStyle w:val="9"/>
              <w:widowControl/>
              <w:numPr>
                <w:ilvl w:val="0"/>
                <w:numId w:val="1"/>
              </w:numPr>
              <w:autoSpaceDE w:val="0"/>
              <w:autoSpaceDN w:val="0"/>
              <w:ind w:firstLineChars="0"/>
              <w:contextualSpacing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Xueliang Niu, Xiaoyan Li, Wei Chen, Xiaobao Li, Wenju Weng, Chunxiao Yin, Ruixia Dong, Wei Sun</w:t>
            </w:r>
            <w:r>
              <w:rPr>
                <w:sz w:val="24"/>
                <w:szCs w:val="24"/>
                <w:vertAlign w:val="superscript"/>
                <w:lang w:val="de-DE"/>
              </w:rPr>
              <w:t>*</w:t>
            </w:r>
            <w:r>
              <w:rPr>
                <w:sz w:val="24"/>
                <w:szCs w:val="24"/>
                <w:lang w:val="de-DE"/>
              </w:rPr>
              <w:t xml:space="preserve">, Guangjiu Li, Three-dimensional reduced graphene oxide aerogel modifed electrode for the sensitive quercetin sensing and its application, </w:t>
            </w:r>
            <w:r>
              <w:rPr>
                <w:i/>
                <w:iCs/>
                <w:sz w:val="24"/>
                <w:szCs w:val="24"/>
                <w:lang w:val="de-DE"/>
              </w:rPr>
              <w:t>Materials Science &amp; Engineering C,</w:t>
            </w:r>
            <w:r>
              <w:rPr>
                <w:sz w:val="24"/>
                <w:szCs w:val="24"/>
                <w:lang w:val="de-DE"/>
              </w:rPr>
              <w:t xml:space="preserve"> 2018,89: 230-236. </w:t>
            </w:r>
          </w:p>
          <w:p>
            <w:pPr>
              <w:pStyle w:val="9"/>
              <w:numPr>
                <w:ilvl w:val="0"/>
                <w:numId w:val="1"/>
              </w:numPr>
              <w:autoSpaceDE w:val="0"/>
              <w:autoSpaceDN w:val="0"/>
              <w:ind w:firstLineChars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Wei Chen, Xueliang Niu, Xiaoyan Li, Xiaobao Li, Guangjiu Li, Bolin He, Qiutong Li, Wei Sun</w:t>
            </w:r>
            <w:r>
              <w:rPr>
                <w:bCs/>
                <w:sz w:val="24"/>
                <w:szCs w:val="24"/>
                <w:shd w:val="clear" w:color="auto" w:fill="FFFFFF"/>
              </w:rPr>
              <w:t>*</w:t>
            </w:r>
            <w:r>
              <w:rPr>
                <w:sz w:val="24"/>
                <w:szCs w:val="24"/>
              </w:rPr>
              <w:t xml:space="preserve">, Investigation on direct electrochemical and electrocatalytic behavior of hemoglobin on palladium-graphene modified electrode, </w:t>
            </w:r>
            <w:r>
              <w:rPr>
                <w:i/>
                <w:iCs/>
                <w:sz w:val="24"/>
                <w:szCs w:val="24"/>
              </w:rPr>
              <w:t xml:space="preserve">Materials Science </w:t>
            </w:r>
            <w:r>
              <w:rPr>
                <w:i/>
                <w:iCs/>
                <w:sz w:val="24"/>
                <w:szCs w:val="24"/>
                <w:lang w:val="de-DE"/>
              </w:rPr>
              <w:t>&amp;</w:t>
            </w:r>
            <w:r>
              <w:rPr>
                <w:i/>
                <w:iCs/>
                <w:sz w:val="24"/>
                <w:szCs w:val="24"/>
              </w:rPr>
              <w:t xml:space="preserve"> Engineering C</w:t>
            </w:r>
            <w:r>
              <w:rPr>
                <w:sz w:val="24"/>
                <w:szCs w:val="24"/>
              </w:rPr>
              <w:t xml:space="preserve">, 2017, 80:135-140. </w:t>
            </w:r>
          </w:p>
          <w:p>
            <w:pPr>
              <w:pStyle w:val="9"/>
              <w:numPr>
                <w:ilvl w:val="0"/>
                <w:numId w:val="1"/>
              </w:numPr>
              <w:autoSpaceDE w:val="0"/>
              <w:autoSpaceDN w:val="0"/>
              <w:ind w:firstLineChars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Xueliang Niu, Hui Xie, Guiling Luo, Yongling Men, Weili Zhang, Wei Sun</w:t>
            </w:r>
            <w:r>
              <w:rPr>
                <w:sz w:val="24"/>
                <w:szCs w:val="24"/>
                <w:vertAlign w:val="superscript"/>
              </w:rPr>
              <w:t>*</w:t>
            </w:r>
            <w:r>
              <w:rPr>
                <w:sz w:val="24"/>
                <w:szCs w:val="24"/>
              </w:rPr>
              <w:t xml:space="preserve">. Platinum-3D </w:t>
            </w:r>
            <w:r>
              <w:rPr>
                <w:rFonts w:hint="eastAsia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 xml:space="preserve">raphene </w:t>
            </w:r>
            <w:r>
              <w:rPr>
                <w:rFonts w:hint="eastAsia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xide 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reogel </w:t>
            </w:r>
            <w:r>
              <w:rPr>
                <w:rFonts w:hint="eastAsia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anocomposite for </w:t>
            </w:r>
            <w:r>
              <w:rPr>
                <w:rFonts w:hint="eastAsia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 xml:space="preserve">irect </w:t>
            </w:r>
            <w:r>
              <w:rPr>
                <w:rFonts w:hint="eastAsia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lectrochemistry and </w:t>
            </w:r>
            <w:r>
              <w:rPr>
                <w:rFonts w:hint="eastAsia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lectrocatalysis of </w:t>
            </w:r>
            <w:r>
              <w:rPr>
                <w:rFonts w:hint="eastAsia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 xml:space="preserve">orseradish 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eroxidase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Journal of The Electrochemical Society</w:t>
            </w:r>
            <w:r>
              <w:rPr>
                <w:sz w:val="24"/>
                <w:szCs w:val="24"/>
              </w:rPr>
              <w:t>, 2018, 165(14):B713-B719.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pStyle w:val="9"/>
              <w:numPr>
                <w:ilvl w:val="0"/>
                <w:numId w:val="1"/>
              </w:numPr>
              <w:autoSpaceDE w:val="0"/>
              <w:autoSpaceDN w:val="0"/>
              <w:ind w:firstLineChars="0"/>
              <w:contextualSpacing/>
              <w:rPr>
                <w:rFonts w:eastAsia="楷体"/>
                <w:sz w:val="24"/>
                <w:szCs w:val="24"/>
              </w:rPr>
            </w:pPr>
            <w:r>
              <w:rPr>
                <w:sz w:val="24"/>
                <w:szCs w:val="24"/>
              </w:rPr>
              <w:t>Xueliang Niu, Wei Chen, Xiuli Wang, Yongling Men, Qin Wang, Wei Sun</w:t>
            </w:r>
            <w:r>
              <w:rPr>
                <w:bCs/>
                <w:sz w:val="24"/>
                <w:szCs w:val="24"/>
                <w:vertAlign w:val="superscript"/>
              </w:rPr>
              <w:t>*</w:t>
            </w:r>
            <w:r>
              <w:rPr>
                <w:sz w:val="24"/>
                <w:szCs w:val="24"/>
              </w:rPr>
              <w:t xml:space="preserve">, Guangjiu Li, A graphene modified carbon ionic liquid electrode for voltammetric analysis of the sequence of the Staphylococcus aureus nuc gene, </w:t>
            </w:r>
            <w:r>
              <w:rPr>
                <w:i/>
                <w:iCs/>
                <w:sz w:val="24"/>
                <w:szCs w:val="24"/>
              </w:rPr>
              <w:t>Microchimica Acta</w:t>
            </w:r>
            <w:r>
              <w:rPr>
                <w:sz w:val="24"/>
                <w:szCs w:val="24"/>
              </w:rPr>
              <w:t xml:space="preserve">, 2018, 185(3):167. </w:t>
            </w:r>
          </w:p>
          <w:p>
            <w:pPr>
              <w:pStyle w:val="9"/>
              <w:numPr>
                <w:ilvl w:val="0"/>
                <w:numId w:val="1"/>
              </w:numPr>
              <w:autoSpaceDE w:val="0"/>
              <w:autoSpaceDN w:val="0"/>
              <w:ind w:firstLineChars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Xiaobao Li, Ruyi Zou, Yanyan Niu, Wei Sun</w:t>
            </w:r>
            <w:r>
              <w:rPr>
                <w:sz w:val="24"/>
                <w:szCs w:val="24"/>
                <w:vertAlign w:val="superscript"/>
              </w:rPr>
              <w:t>*</w:t>
            </w:r>
            <w:r>
              <w:rPr>
                <w:sz w:val="24"/>
                <w:szCs w:val="24"/>
              </w:rPr>
              <w:t>, Xinlong Tian*</w:t>
            </w:r>
            <w:r>
              <w:rPr>
                <w:rFonts w:hint="eastAsia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Synthesis of a N-doped mesoporous carbon as an efficient electrocatalyst for oxygen reduction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International Journal of Hydrogen Energy</w:t>
            </w:r>
            <w:r>
              <w:rPr>
                <w:sz w:val="24"/>
                <w:szCs w:val="24"/>
              </w:rPr>
              <w:t>, 2018, 43(48):21791-21797</w:t>
            </w:r>
            <w:r>
              <w:rPr>
                <w:rFonts w:hint="eastAsia"/>
                <w:sz w:val="24"/>
                <w:szCs w:val="24"/>
              </w:rPr>
              <w:t xml:space="preserve">. </w:t>
            </w:r>
          </w:p>
          <w:p>
            <w:pPr>
              <w:pStyle w:val="9"/>
              <w:numPr>
                <w:ilvl w:val="0"/>
                <w:numId w:val="1"/>
              </w:numPr>
              <w:autoSpaceDE w:val="0"/>
              <w:autoSpaceDN w:val="0"/>
              <w:ind w:firstLineChars="0"/>
              <w:contextualSpacing/>
              <w:rPr>
                <w:rFonts w:eastAsia="楷体"/>
                <w:sz w:val="24"/>
                <w:szCs w:val="24"/>
                <w:lang w:val="de-DE"/>
              </w:rPr>
            </w:pPr>
            <w:r>
              <w:rPr>
                <w:rFonts w:eastAsia="楷体"/>
                <w:sz w:val="24"/>
                <w:szCs w:val="24"/>
                <w:lang w:val="de-DE"/>
              </w:rPr>
              <w:t>Xiaobao Li</w:t>
            </w:r>
            <w:r>
              <w:rPr>
                <w:rFonts w:hint="eastAsia" w:eastAsia="楷体"/>
                <w:sz w:val="24"/>
                <w:szCs w:val="24"/>
                <w:lang w:val="de-DE"/>
              </w:rPr>
              <w:t xml:space="preserve">, </w:t>
            </w:r>
            <w:r>
              <w:rPr>
                <w:rFonts w:eastAsia="楷体"/>
                <w:sz w:val="24"/>
                <w:szCs w:val="24"/>
                <w:lang w:val="de-DE"/>
              </w:rPr>
              <w:t>Xiaohong Gao</w:t>
            </w:r>
            <w:r>
              <w:rPr>
                <w:rFonts w:hint="eastAsia" w:eastAsia="楷体"/>
                <w:sz w:val="24"/>
                <w:szCs w:val="24"/>
                <w:lang w:val="de-DE"/>
              </w:rPr>
              <w:t xml:space="preserve">, </w:t>
            </w:r>
            <w:r>
              <w:rPr>
                <w:rFonts w:eastAsia="楷体"/>
                <w:sz w:val="24"/>
                <w:szCs w:val="24"/>
                <w:lang w:val="de-DE"/>
              </w:rPr>
              <w:t>Peiyan Xu</w:t>
            </w:r>
            <w:r>
              <w:rPr>
                <w:rFonts w:hint="eastAsia" w:eastAsia="楷体"/>
                <w:sz w:val="24"/>
                <w:szCs w:val="24"/>
                <w:lang w:val="de-DE"/>
              </w:rPr>
              <w:t xml:space="preserve">, </w:t>
            </w:r>
            <w:r>
              <w:rPr>
                <w:rFonts w:eastAsia="楷体"/>
                <w:sz w:val="24"/>
                <w:szCs w:val="24"/>
                <w:lang w:val="de-DE"/>
              </w:rPr>
              <w:t>Chenghang You</w:t>
            </w:r>
            <w:r>
              <w:rPr>
                <w:rFonts w:eastAsia="楷体"/>
                <w:sz w:val="24"/>
                <w:szCs w:val="24"/>
                <w:vertAlign w:val="superscript"/>
                <w:lang w:val="de-DE"/>
              </w:rPr>
              <w:t>*</w:t>
            </w:r>
            <w:r>
              <w:rPr>
                <w:rFonts w:eastAsia="楷体"/>
                <w:sz w:val="24"/>
                <w:szCs w:val="24"/>
                <w:lang w:val="de-DE"/>
              </w:rPr>
              <w:t>, Wei Sun</w:t>
            </w:r>
            <w:r>
              <w:rPr>
                <w:rFonts w:eastAsia="楷体"/>
                <w:sz w:val="24"/>
                <w:szCs w:val="24"/>
                <w:vertAlign w:val="superscript"/>
                <w:lang w:val="de-DE"/>
              </w:rPr>
              <w:t>*</w:t>
            </w:r>
            <w:r>
              <w:rPr>
                <w:rFonts w:hint="eastAsia" w:eastAsia="楷体"/>
                <w:sz w:val="24"/>
                <w:szCs w:val="24"/>
                <w:lang w:val="de-DE"/>
              </w:rPr>
              <w:t xml:space="preserve">, </w:t>
            </w:r>
            <w:r>
              <w:rPr>
                <w:rFonts w:eastAsia="楷体"/>
                <w:sz w:val="24"/>
                <w:szCs w:val="24"/>
                <w:lang w:val="de-DE"/>
              </w:rPr>
              <w:t>Xianghui Wang</w:t>
            </w:r>
            <w:r>
              <w:rPr>
                <w:rFonts w:hint="eastAsia" w:eastAsia="楷体"/>
                <w:sz w:val="24"/>
                <w:szCs w:val="24"/>
                <w:lang w:val="de-DE"/>
              </w:rPr>
              <w:t xml:space="preserve">, </w:t>
            </w:r>
            <w:r>
              <w:rPr>
                <w:rFonts w:eastAsia="楷体"/>
                <w:sz w:val="24"/>
                <w:szCs w:val="24"/>
                <w:lang w:val="de-DE"/>
              </w:rPr>
              <w:t>Qiang Lin</w:t>
            </w:r>
            <w:r>
              <w:rPr>
                <w:rFonts w:hint="eastAsia" w:eastAsia="楷体"/>
                <w:sz w:val="24"/>
                <w:szCs w:val="24"/>
                <w:lang w:val="de-DE"/>
              </w:rPr>
              <w:t xml:space="preserve">, </w:t>
            </w:r>
            <w:r>
              <w:rPr>
                <w:rFonts w:eastAsia="楷体"/>
                <w:sz w:val="24"/>
                <w:szCs w:val="24"/>
                <w:lang w:val="de-DE"/>
              </w:rPr>
              <w:t>Shijun Liao</w:t>
            </w:r>
            <w:r>
              <w:rPr>
                <w:rFonts w:hint="eastAsia" w:eastAsia="楷体"/>
                <w:sz w:val="24"/>
                <w:szCs w:val="24"/>
                <w:lang w:val="de-DE"/>
              </w:rPr>
              <w:t xml:space="preserve">, </w:t>
            </w:r>
            <w:r>
              <w:rPr>
                <w:rFonts w:eastAsia="楷体"/>
                <w:sz w:val="24"/>
                <w:szCs w:val="24"/>
                <w:lang w:val="de-DE"/>
              </w:rPr>
              <w:t xml:space="preserve">Uniform </w:t>
            </w:r>
            <w:r>
              <w:rPr>
                <w:rFonts w:hint="eastAsia" w:eastAsia="楷体"/>
                <w:sz w:val="24"/>
                <w:szCs w:val="24"/>
                <w:lang w:val="de-DE"/>
              </w:rPr>
              <w:t>n</w:t>
            </w:r>
            <w:r>
              <w:rPr>
                <w:rFonts w:eastAsia="楷体"/>
                <w:sz w:val="24"/>
                <w:szCs w:val="24"/>
                <w:lang w:val="de-DE"/>
              </w:rPr>
              <w:t xml:space="preserve">itrogen and </w:t>
            </w:r>
            <w:r>
              <w:rPr>
                <w:rFonts w:hint="eastAsia" w:eastAsia="楷体"/>
                <w:sz w:val="24"/>
                <w:szCs w:val="24"/>
                <w:lang w:val="de-DE"/>
              </w:rPr>
              <w:t>s</w:t>
            </w:r>
            <w:r>
              <w:rPr>
                <w:rFonts w:eastAsia="楷体"/>
                <w:sz w:val="24"/>
                <w:szCs w:val="24"/>
                <w:lang w:val="de-DE"/>
              </w:rPr>
              <w:t xml:space="preserve">ulfur Co-doped </w:t>
            </w:r>
            <w:r>
              <w:rPr>
                <w:rFonts w:hint="eastAsia" w:eastAsia="楷体"/>
                <w:sz w:val="24"/>
                <w:szCs w:val="24"/>
                <w:lang w:val="de-DE"/>
              </w:rPr>
              <w:t>c</w:t>
            </w:r>
            <w:r>
              <w:rPr>
                <w:rFonts w:eastAsia="楷体"/>
                <w:sz w:val="24"/>
                <w:szCs w:val="24"/>
                <w:lang w:val="de-DE"/>
              </w:rPr>
              <w:t xml:space="preserve">arbon </w:t>
            </w:r>
            <w:r>
              <w:rPr>
                <w:rFonts w:hint="eastAsia" w:eastAsia="楷体"/>
                <w:sz w:val="24"/>
                <w:szCs w:val="24"/>
                <w:lang w:val="de-DE"/>
              </w:rPr>
              <w:t>b</w:t>
            </w:r>
            <w:r>
              <w:rPr>
                <w:rFonts w:eastAsia="楷体"/>
                <w:sz w:val="24"/>
                <w:szCs w:val="24"/>
                <w:lang w:val="de-DE"/>
              </w:rPr>
              <w:t xml:space="preserve">owls for the </w:t>
            </w:r>
            <w:r>
              <w:rPr>
                <w:rFonts w:hint="eastAsia" w:eastAsia="楷体"/>
                <w:sz w:val="24"/>
                <w:szCs w:val="24"/>
                <w:lang w:val="de-DE"/>
              </w:rPr>
              <w:t>e</w:t>
            </w:r>
            <w:r>
              <w:rPr>
                <w:rFonts w:eastAsia="楷体"/>
                <w:sz w:val="24"/>
                <w:szCs w:val="24"/>
                <w:lang w:val="de-DE"/>
              </w:rPr>
              <w:t xml:space="preserve">lectrocatalyzation of </w:t>
            </w:r>
            <w:r>
              <w:rPr>
                <w:rFonts w:hint="eastAsia" w:eastAsia="楷体"/>
                <w:sz w:val="24"/>
                <w:szCs w:val="24"/>
                <w:lang w:val="de-DE"/>
              </w:rPr>
              <w:t>o</w:t>
            </w:r>
            <w:r>
              <w:rPr>
                <w:rFonts w:eastAsia="楷体"/>
                <w:sz w:val="24"/>
                <w:szCs w:val="24"/>
                <w:lang w:val="de-DE"/>
              </w:rPr>
              <w:t xml:space="preserve">xygen </w:t>
            </w:r>
            <w:r>
              <w:rPr>
                <w:rFonts w:hint="eastAsia" w:eastAsia="楷体"/>
                <w:sz w:val="24"/>
                <w:szCs w:val="24"/>
                <w:lang w:val="de-DE"/>
              </w:rPr>
              <w:t>r</w:t>
            </w:r>
            <w:r>
              <w:rPr>
                <w:rFonts w:eastAsia="楷体"/>
                <w:sz w:val="24"/>
                <w:szCs w:val="24"/>
                <w:lang w:val="de-DE"/>
              </w:rPr>
              <w:t>eduction</w:t>
            </w:r>
            <w:r>
              <w:rPr>
                <w:rFonts w:hint="eastAsia" w:eastAsia="楷体"/>
                <w:sz w:val="24"/>
                <w:szCs w:val="24"/>
                <w:lang w:val="de-DE"/>
              </w:rPr>
              <w:t xml:space="preserve">. </w:t>
            </w:r>
            <w:r>
              <w:rPr>
                <w:rFonts w:eastAsia="楷体"/>
                <w:i/>
                <w:sz w:val="24"/>
                <w:szCs w:val="24"/>
                <w:lang w:val="de-DE"/>
              </w:rPr>
              <w:t>ACS Sustainable Chem</w:t>
            </w:r>
            <w:r>
              <w:rPr>
                <w:rFonts w:hint="eastAsia" w:eastAsia="楷体"/>
                <w:i/>
                <w:sz w:val="24"/>
                <w:szCs w:val="24"/>
                <w:lang w:val="de-DE"/>
              </w:rPr>
              <w:t>istry and</w:t>
            </w:r>
            <w:r>
              <w:rPr>
                <w:rFonts w:eastAsia="楷体"/>
                <w:i/>
                <w:sz w:val="24"/>
                <w:szCs w:val="24"/>
                <w:lang w:val="de-DE"/>
              </w:rPr>
              <w:t xml:space="preserve"> Eng</w:t>
            </w:r>
            <w:r>
              <w:rPr>
                <w:rFonts w:hint="eastAsia" w:eastAsia="楷体"/>
                <w:i/>
                <w:sz w:val="24"/>
                <w:szCs w:val="24"/>
                <w:lang w:val="de-DE"/>
              </w:rPr>
              <w:t>ineering</w:t>
            </w:r>
            <w:r>
              <w:rPr>
                <w:rFonts w:hint="eastAsia" w:eastAsia="楷体"/>
                <w:sz w:val="24"/>
                <w:szCs w:val="24"/>
                <w:lang w:val="de-DE"/>
              </w:rPr>
              <w:t>, 2019, 7(7):7148-7154.</w:t>
            </w:r>
          </w:p>
          <w:p>
            <w:pPr>
              <w:pStyle w:val="9"/>
              <w:numPr>
                <w:ilvl w:val="0"/>
                <w:numId w:val="1"/>
              </w:numPr>
              <w:autoSpaceDE w:val="0"/>
              <w:autoSpaceDN w:val="0"/>
              <w:ind w:firstLineChars="0"/>
              <w:contextualSpacing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  <w:lang w:val="de-DE"/>
              </w:rPr>
              <w:t xml:space="preserve">Yanyan Niu, Hui Xie, Guiling Luo, Yujiao Zhuang, Xianqun Wua, Guangjiu Li, Wei Sun*. </w:t>
            </w:r>
            <w:r>
              <w:rPr>
                <w:color w:val="1A1A1A"/>
                <w:sz w:val="24"/>
                <w:szCs w:val="24"/>
              </w:rPr>
              <w:t>ZnO-reduced graphene oxide composite based photoelectrochemical aptasensor for sensitive Cd(II) detection with methylene blue as sensitizer. Analytica Chimica Acta, 2020,</w:t>
            </w:r>
            <w:r>
              <w:rPr>
                <w:sz w:val="24"/>
                <w:szCs w:val="24"/>
              </w:rPr>
              <w:t xml:space="preserve"> 1118</w:t>
            </w:r>
            <w:r>
              <w:rPr>
                <w:color w:val="1A1A1A"/>
                <w:sz w:val="24"/>
                <w:szCs w:val="24"/>
              </w:rPr>
              <w:t>:1-8.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  <w:jc w:val="center"/>
        </w:trPr>
        <w:tc>
          <w:tcPr>
            <w:tcW w:w="1980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bCs/>
                <w:sz w:val="28"/>
                <w:szCs w:val="24"/>
                <w:lang w:val="en"/>
              </w:rPr>
            </w:pPr>
            <w:r>
              <w:rPr>
                <w:rFonts w:eastAsia="仿宋_GB2312"/>
                <w:bCs/>
                <w:sz w:val="28"/>
                <w:szCs w:val="24"/>
              </w:rPr>
              <w:t>主要完成人</w:t>
            </w:r>
          </w:p>
        </w:tc>
        <w:tc>
          <w:tcPr>
            <w:tcW w:w="7087" w:type="dxa"/>
            <w:vAlign w:val="center"/>
          </w:tcPr>
          <w:p>
            <w:pPr>
              <w:spacing w:line="440" w:lineRule="exac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孙伟</w:t>
            </w:r>
            <w:r>
              <w:rPr>
                <w:rFonts w:eastAsia="仿宋_GB2312"/>
                <w:bCs/>
                <w:sz w:val="24"/>
                <w:szCs w:val="24"/>
              </w:rPr>
              <w:t>，排名1，</w:t>
            </w:r>
            <w:r>
              <w:rPr>
                <w:rFonts w:hint="eastAsia" w:eastAsia="仿宋_GB2312"/>
                <w:bCs/>
                <w:sz w:val="24"/>
                <w:szCs w:val="24"/>
              </w:rPr>
              <w:t>教授</w:t>
            </w:r>
            <w:r>
              <w:rPr>
                <w:rFonts w:eastAsia="仿宋_GB2312"/>
                <w:bCs/>
                <w:sz w:val="24"/>
                <w:szCs w:val="24"/>
              </w:rPr>
              <w:t>，</w:t>
            </w:r>
            <w:r>
              <w:rPr>
                <w:rFonts w:hint="eastAsia" w:eastAsia="仿宋_GB2312"/>
                <w:bCs/>
                <w:sz w:val="24"/>
                <w:szCs w:val="24"/>
              </w:rPr>
              <w:t>海南师范大学</w:t>
            </w:r>
          </w:p>
          <w:p>
            <w:pPr>
              <w:spacing w:line="440" w:lineRule="exac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李小宝</w:t>
            </w:r>
            <w:r>
              <w:rPr>
                <w:rFonts w:eastAsia="仿宋_GB2312"/>
                <w:bCs/>
                <w:sz w:val="24"/>
                <w:szCs w:val="24"/>
              </w:rPr>
              <w:t>，排名2，</w:t>
            </w:r>
            <w:r>
              <w:rPr>
                <w:rFonts w:hint="eastAsia" w:eastAsia="仿宋_GB2312"/>
                <w:bCs/>
                <w:sz w:val="24"/>
                <w:szCs w:val="24"/>
              </w:rPr>
              <w:t>副研究员</w:t>
            </w:r>
            <w:r>
              <w:rPr>
                <w:rFonts w:eastAsia="仿宋_GB2312"/>
                <w:bCs/>
                <w:sz w:val="24"/>
                <w:szCs w:val="24"/>
              </w:rPr>
              <w:t>，</w:t>
            </w:r>
            <w:r>
              <w:rPr>
                <w:rFonts w:hint="eastAsia" w:eastAsia="仿宋_GB2312"/>
                <w:bCs/>
                <w:sz w:val="24"/>
                <w:szCs w:val="24"/>
              </w:rPr>
              <w:t>海南师范大学</w:t>
            </w:r>
          </w:p>
          <w:p>
            <w:pPr>
              <w:spacing w:line="440" w:lineRule="exac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牛燕燕，排名</w:t>
            </w:r>
            <w:r>
              <w:rPr>
                <w:rFonts w:eastAsia="仿宋_GB2312"/>
                <w:bCs/>
                <w:sz w:val="24"/>
                <w:szCs w:val="24"/>
              </w:rPr>
              <w:t>3</w:t>
            </w:r>
            <w:r>
              <w:rPr>
                <w:rFonts w:hint="eastAsia" w:eastAsia="仿宋_GB2312"/>
                <w:bCs/>
                <w:sz w:val="24"/>
                <w:szCs w:val="24"/>
              </w:rPr>
              <w:t>，高级实验师，海南师范大学</w:t>
            </w:r>
          </w:p>
          <w:p>
            <w:pPr>
              <w:spacing w:line="440" w:lineRule="exac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牛学良，排名4，讲师，海南师范大学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1980" w:type="dxa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eastAsia="仿宋"/>
                <w:bCs/>
                <w:sz w:val="28"/>
                <w:szCs w:val="24"/>
              </w:rPr>
              <w:t>主要完成单位</w:t>
            </w:r>
          </w:p>
        </w:tc>
        <w:tc>
          <w:tcPr>
            <w:tcW w:w="7087" w:type="dxa"/>
            <w:vAlign w:val="center"/>
          </w:tcPr>
          <w:p>
            <w:pPr>
              <w:spacing w:line="440" w:lineRule="exact"/>
              <w:jc w:val="left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海南师范大学</w:t>
            </w:r>
          </w:p>
        </w:tc>
      </w:tr>
    </w:tbl>
    <w:p/>
    <w:p>
      <w:pPr>
        <w:spacing w:line="440" w:lineRule="exact"/>
        <w:outlineLvl w:val="1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sectPr>
      <w:headerReference r:id="rId3" w:type="default"/>
      <w:footerReference r:id="rId4" w:type="default"/>
      <w:pgSz w:w="12240" w:h="15840"/>
      <w:pgMar w:top="1440" w:right="1417" w:bottom="1440" w:left="1587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4901565</wp:posOffset>
              </wp:positionH>
              <wp:positionV relativeFrom="paragraph">
                <wp:posOffset>-92710</wp:posOffset>
              </wp:positionV>
              <wp:extent cx="974090" cy="234950"/>
              <wp:effectExtent l="0" t="2540" r="1270" b="635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409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ind w:right="40" w:rightChars="19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 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left:385.95pt;margin-top:-7.3pt;height:18.5pt;width:76.7pt;mso-position-horizontal-relative:margin;z-index:251659264;mso-width-relative:page;mso-height-relative:page;" filled="f" stroked="f" coordsize="21600,21600" o:gfxdata="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CA+r9oAAAAKAQAADwAAAAAAAAABACAAAAAiAAAAZHJzL2Rv&#10;d25yZXYueG1sUEsBAhQAFAAAAAgAh07iQK7RNBb/AQAABgQAAA4AAAAAAAAAAQAgAAAAKQ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ind w:right="40" w:rightChars="19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 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7930C4"/>
    <w:multiLevelType w:val="multilevel"/>
    <w:tmpl w:val="317930C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500"/>
  <w:drawingGridHorizontalSpacing w:val="1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RlZGNkYzBkNTYyMWEwNDg2ZmQ4N2Q1Zjc4NzAzNGUifQ=="/>
  </w:docVars>
  <w:rsids>
    <w:rsidRoot w:val="00172A27"/>
    <w:rsid w:val="00002F20"/>
    <w:rsid w:val="0004670D"/>
    <w:rsid w:val="000703E6"/>
    <w:rsid w:val="00073B3A"/>
    <w:rsid w:val="00082F4E"/>
    <w:rsid w:val="000C1056"/>
    <w:rsid w:val="000D70DA"/>
    <w:rsid w:val="00105C24"/>
    <w:rsid w:val="001562FC"/>
    <w:rsid w:val="00171E8C"/>
    <w:rsid w:val="00172A27"/>
    <w:rsid w:val="00185110"/>
    <w:rsid w:val="001B1D09"/>
    <w:rsid w:val="00255B54"/>
    <w:rsid w:val="002628F9"/>
    <w:rsid w:val="0028594B"/>
    <w:rsid w:val="002C1382"/>
    <w:rsid w:val="002E07B4"/>
    <w:rsid w:val="0030732B"/>
    <w:rsid w:val="00327000"/>
    <w:rsid w:val="003478DE"/>
    <w:rsid w:val="003A08BD"/>
    <w:rsid w:val="004545DD"/>
    <w:rsid w:val="0046404B"/>
    <w:rsid w:val="004B4159"/>
    <w:rsid w:val="004C17BD"/>
    <w:rsid w:val="005471E1"/>
    <w:rsid w:val="00574850"/>
    <w:rsid w:val="005A035C"/>
    <w:rsid w:val="005D5763"/>
    <w:rsid w:val="00606482"/>
    <w:rsid w:val="006111A6"/>
    <w:rsid w:val="006130FF"/>
    <w:rsid w:val="00644557"/>
    <w:rsid w:val="00661999"/>
    <w:rsid w:val="007130A9"/>
    <w:rsid w:val="00774C67"/>
    <w:rsid w:val="00787182"/>
    <w:rsid w:val="007A7EC2"/>
    <w:rsid w:val="008A1397"/>
    <w:rsid w:val="008B59C4"/>
    <w:rsid w:val="008E29B4"/>
    <w:rsid w:val="009D7608"/>
    <w:rsid w:val="009E7673"/>
    <w:rsid w:val="00A5687E"/>
    <w:rsid w:val="00AA1F18"/>
    <w:rsid w:val="00AA4043"/>
    <w:rsid w:val="00AD2FF9"/>
    <w:rsid w:val="00AD73BC"/>
    <w:rsid w:val="00B13EF9"/>
    <w:rsid w:val="00B65385"/>
    <w:rsid w:val="00BA1856"/>
    <w:rsid w:val="00BC0569"/>
    <w:rsid w:val="00BD0EFF"/>
    <w:rsid w:val="00BD7610"/>
    <w:rsid w:val="00C17802"/>
    <w:rsid w:val="00C22A1E"/>
    <w:rsid w:val="00C25C00"/>
    <w:rsid w:val="00C31689"/>
    <w:rsid w:val="00C66C3D"/>
    <w:rsid w:val="00C76676"/>
    <w:rsid w:val="00CF690D"/>
    <w:rsid w:val="00DA3AEC"/>
    <w:rsid w:val="00E01A3B"/>
    <w:rsid w:val="00E25091"/>
    <w:rsid w:val="00E50488"/>
    <w:rsid w:val="00E9616E"/>
    <w:rsid w:val="00EC1203"/>
    <w:rsid w:val="00F26E80"/>
    <w:rsid w:val="00FA2258"/>
    <w:rsid w:val="06EE7E42"/>
    <w:rsid w:val="2ADE9371"/>
    <w:rsid w:val="3ECB47D7"/>
    <w:rsid w:val="6FF74C7A"/>
    <w:rsid w:val="79956764"/>
    <w:rsid w:val="7ADC37DD"/>
    <w:rsid w:val="7BFF7F87"/>
    <w:rsid w:val="7EEF20F4"/>
    <w:rsid w:val="7F5F3CBC"/>
    <w:rsid w:val="7FE9B98C"/>
    <w:rsid w:val="7FEB61FC"/>
    <w:rsid w:val="D8FF364E"/>
    <w:rsid w:val="F32E5334"/>
    <w:rsid w:val="FF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title1"/>
    <w:qFormat/>
    <w:uiPriority w:val="0"/>
    <w:rPr>
      <w:b/>
      <w:bCs/>
      <w:color w:val="999900"/>
      <w:sz w:val="24"/>
      <w:szCs w:val="24"/>
    </w:rPr>
  </w:style>
  <w:style w:type="paragraph" w:customStyle="1" w:styleId="8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正文文本 (2)_"/>
    <w:link w:val="11"/>
    <w:unhideWhenUsed/>
    <w:qFormat/>
    <w:uiPriority w:val="99"/>
    <w:rPr>
      <w:rFonts w:ascii="MingLiU" w:eastAsia="MingLiU"/>
      <w:sz w:val="22"/>
      <w:shd w:val="clear" w:color="auto" w:fill="FFFFFF"/>
    </w:rPr>
  </w:style>
  <w:style w:type="paragraph" w:customStyle="1" w:styleId="11">
    <w:name w:val="正文文本 (2)1"/>
    <w:basedOn w:val="1"/>
    <w:link w:val="10"/>
    <w:unhideWhenUsed/>
    <w:qFormat/>
    <w:uiPriority w:val="99"/>
    <w:pPr>
      <w:shd w:val="clear" w:color="auto" w:fill="FFFFFF"/>
      <w:spacing w:before="240" w:line="466" w:lineRule="exact"/>
      <w:ind w:hanging="440"/>
      <w:jc w:val="distribute"/>
    </w:pPr>
    <w:rPr>
      <w:rFonts w:ascii="MingLiU" w:eastAsia="MingLiU"/>
      <w:kern w:val="0"/>
      <w:sz w:val="22"/>
    </w:rPr>
  </w:style>
  <w:style w:type="character" w:customStyle="1" w:styleId="12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1414</Words>
  <Characters>3132</Characters>
  <Lines>24</Lines>
  <Paragraphs>7</Paragraphs>
  <TotalTime>92</TotalTime>
  <ScaleCrop>false</ScaleCrop>
  <LinksUpToDate>false</LinksUpToDate>
  <CharactersWithSpaces>3445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2022-12-10T07:42:00Z</dcterms:created>
  <dc:creator>唐欢</dc:creator>
  <cp:lastModifiedBy>xyt</cp:lastModifiedBy>
  <dcterms:modified xsi:type="dcterms:W3CDTF">2022-12-12T00:26:43Z</dcterms:modified>
  <dc:title>附件1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AD8908CE3E524710B7EE709CE63B9008</vt:lpwstr>
  </property>
</Properties>
</file>