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napToGrid w:val="0"/>
        <w:spacing w:line="360" w:lineRule="auto"/>
        <w:jc w:val="left"/>
        <w:outlineLvl w:val="0"/>
        <w:rPr>
          <w:rFonts w:ascii="宋体" w:hAnsi="宋体"/>
          <w:color w:val="000000"/>
          <w:sz w:val="32"/>
          <w:szCs w:val="32"/>
        </w:rPr>
      </w:pPr>
      <w:bookmarkStart w:id="0" w:name="_Toc530473016"/>
      <w:r>
        <w:rPr>
          <w:rFonts w:hint="eastAsia" w:ascii="黑体" w:hAnsi="黑体" w:eastAsia="黑体" w:cs="黑体"/>
          <w:bCs/>
          <w:color w:val="000000"/>
          <w:sz w:val="32"/>
          <w:szCs w:val="32"/>
        </w:rPr>
        <w:t>附件1</w:t>
      </w:r>
    </w:p>
    <w:p>
      <w:pPr>
        <w:spacing w:line="100" w:lineRule="exact"/>
        <w:jc w:val="center"/>
        <w:outlineLvl w:val="0"/>
        <w:rPr>
          <w:rFonts w:ascii="宋体" w:hAnsi="宋体"/>
          <w:color w:val="000000"/>
          <w:sz w:val="36"/>
          <w:szCs w:val="36"/>
        </w:rPr>
      </w:pPr>
    </w:p>
    <w:bookmarkEnd w:id="0"/>
    <w:p>
      <w:pPr>
        <w:spacing w:line="74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2022年度海南省科学技术奖提名公示内容</w:t>
      </w:r>
    </w:p>
    <w:p>
      <w:pPr>
        <w:spacing w:line="100" w:lineRule="exact"/>
        <w:jc w:val="center"/>
        <w:rPr>
          <w:rFonts w:ascii="仿宋_GB2312" w:hAnsi="仿宋_GB2312" w:eastAsia="仿宋_GB2312" w:cs="仿宋_GB2312"/>
          <w:color w:val="000000"/>
          <w:sz w:val="32"/>
          <w:szCs w:val="32"/>
        </w:rPr>
      </w:pPr>
    </w:p>
    <w:p>
      <w:pPr>
        <w:spacing w:line="440" w:lineRule="exact"/>
        <w:jc w:val="center"/>
        <w:outlineLvl w:val="1"/>
        <w:rPr>
          <w:rFonts w:eastAsia="仿宋_GB2312"/>
          <w:sz w:val="28"/>
          <w:szCs w:val="24"/>
        </w:rPr>
      </w:pPr>
      <w:r>
        <w:rPr>
          <w:rFonts w:eastAsia="仿宋_GB2312"/>
          <w:sz w:val="28"/>
          <w:szCs w:val="24"/>
        </w:rPr>
        <w:t>提名奖项：科学技术进步奖</w:t>
      </w:r>
      <w:r>
        <w:rPr>
          <w:rFonts w:hint="eastAsia" w:eastAsia="仿宋_GB2312"/>
          <w:sz w:val="28"/>
          <w:szCs w:val="24"/>
        </w:rPr>
        <w:t>（公示7个工作日）</w:t>
      </w:r>
      <w:bookmarkStart w:id="1" w:name="_GoBack"/>
      <w:bookmarkEnd w:id="1"/>
    </w:p>
    <w:p>
      <w:pPr>
        <w:spacing w:line="440" w:lineRule="exact"/>
        <w:outlineLvl w:val="1"/>
        <w:rPr>
          <w:rFonts w:eastAsia="仿宋_GB2312"/>
          <w:sz w:val="28"/>
          <w:szCs w:val="24"/>
        </w:rPr>
      </w:pPr>
    </w:p>
    <w:tbl>
      <w:tblPr>
        <w:tblStyle w:val="6"/>
        <w:tblW w:w="90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6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2269" w:type="dxa"/>
            <w:vAlign w:val="center"/>
          </w:tcPr>
          <w:p>
            <w:pPr>
              <w:jc w:val="center"/>
              <w:rPr>
                <w:rStyle w:val="8"/>
                <w:rFonts w:eastAsia="仿宋_GB2312"/>
                <w:b w:val="0"/>
                <w:color w:val="auto"/>
                <w:sz w:val="28"/>
              </w:rPr>
            </w:pPr>
            <w:r>
              <w:rPr>
                <w:rStyle w:val="8"/>
                <w:rFonts w:hint="eastAsia" w:eastAsia="仿宋_GB2312"/>
                <w:b w:val="0"/>
                <w:bCs w:val="0"/>
                <w:color w:val="auto"/>
                <w:sz w:val="28"/>
              </w:rPr>
              <w:t>项目</w:t>
            </w:r>
            <w:r>
              <w:rPr>
                <w:rStyle w:val="8"/>
                <w:rFonts w:eastAsia="仿宋_GB2312"/>
                <w:b w:val="0"/>
                <w:bCs w:val="0"/>
                <w:color w:val="auto"/>
                <w:sz w:val="28"/>
              </w:rPr>
              <w:t>名称</w:t>
            </w:r>
          </w:p>
        </w:tc>
        <w:tc>
          <w:tcPr>
            <w:tcW w:w="6755" w:type="dxa"/>
            <w:vAlign w:val="center"/>
          </w:tcPr>
          <w:p>
            <w:pPr>
              <w:jc w:val="center"/>
              <w:rPr>
                <w:rStyle w:val="8"/>
                <w:rFonts w:eastAsia="仿宋_GB2312"/>
                <w:b w:val="0"/>
                <w:color w:val="auto"/>
                <w:sz w:val="28"/>
              </w:rPr>
            </w:pPr>
            <w:r>
              <w:rPr>
                <w:rStyle w:val="8"/>
                <w:rFonts w:hint="eastAsia" w:eastAsia="仿宋_GB2312"/>
                <w:b w:val="0"/>
                <w:color w:val="auto"/>
                <w:sz w:val="28"/>
              </w:rPr>
              <w:t>龟鳖生态学研究与多样性保护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2269" w:type="dxa"/>
            <w:vAlign w:val="center"/>
          </w:tcPr>
          <w:p>
            <w:pPr>
              <w:jc w:val="center"/>
              <w:rPr>
                <w:rStyle w:val="8"/>
                <w:rFonts w:eastAsia="仿宋_GB2312"/>
                <w:b w:val="0"/>
                <w:color w:val="auto"/>
                <w:sz w:val="28"/>
              </w:rPr>
            </w:pPr>
            <w:r>
              <w:rPr>
                <w:rStyle w:val="8"/>
                <w:rFonts w:eastAsia="仿宋_GB2312"/>
                <w:b w:val="0"/>
                <w:bCs w:val="0"/>
                <w:color w:val="auto"/>
                <w:sz w:val="28"/>
              </w:rPr>
              <w:t>提名等级</w:t>
            </w:r>
          </w:p>
        </w:tc>
        <w:tc>
          <w:tcPr>
            <w:tcW w:w="6755" w:type="dxa"/>
            <w:vAlign w:val="center"/>
          </w:tcPr>
          <w:p>
            <w:pPr>
              <w:jc w:val="center"/>
              <w:rPr>
                <w:rStyle w:val="8"/>
                <w:rFonts w:eastAsia="仿宋_GB2312"/>
                <w:b w:val="0"/>
                <w:color w:val="auto"/>
                <w:sz w:val="28"/>
              </w:rPr>
            </w:pPr>
            <w:r>
              <w:rPr>
                <w:rStyle w:val="8"/>
                <w:rFonts w:hint="eastAsia" w:eastAsia="仿宋_GB2312"/>
                <w:b w:val="0"/>
                <w:color w:val="auto"/>
                <w:sz w:val="28"/>
              </w:rPr>
              <w:t>海南省科技进步一等奖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1" w:hRule="atLeast"/>
          <w:jc w:val="center"/>
        </w:trPr>
        <w:tc>
          <w:tcPr>
            <w:tcW w:w="2269" w:type="dxa"/>
            <w:vAlign w:val="center"/>
          </w:tcPr>
          <w:p>
            <w:pPr>
              <w:jc w:val="center"/>
              <w:rPr>
                <w:rFonts w:eastAsia="仿宋_GB2312"/>
                <w:bCs/>
                <w:sz w:val="28"/>
                <w:szCs w:val="28"/>
              </w:rPr>
            </w:pPr>
            <w:r>
              <w:rPr>
                <w:rStyle w:val="8"/>
                <w:rFonts w:eastAsia="仿宋_GB2312"/>
                <w:b w:val="0"/>
                <w:color w:val="auto"/>
                <w:sz w:val="28"/>
                <w:szCs w:val="28"/>
              </w:rPr>
              <w:t>提名单位/</w:t>
            </w:r>
            <w:r>
              <w:rPr>
                <w:rStyle w:val="8"/>
                <w:rFonts w:eastAsia="仿宋"/>
                <w:b w:val="0"/>
                <w:bCs w:val="0"/>
                <w:color w:val="auto"/>
                <w:sz w:val="28"/>
              </w:rPr>
              <w:t>提名专家</w:t>
            </w:r>
          </w:p>
        </w:tc>
        <w:tc>
          <w:tcPr>
            <w:tcW w:w="6755" w:type="dxa"/>
            <w:vAlign w:val="center"/>
          </w:tcPr>
          <w:p>
            <w:pPr>
              <w:jc w:val="center"/>
              <w:rPr>
                <w:rStyle w:val="8"/>
                <w:rFonts w:eastAsia="仿宋_GB2312"/>
                <w:b w:val="0"/>
                <w:color w:val="auto"/>
                <w:sz w:val="28"/>
              </w:rPr>
            </w:pPr>
            <w:r>
              <w:rPr>
                <w:rStyle w:val="8"/>
                <w:rFonts w:hint="eastAsia" w:eastAsia="仿宋_GB2312"/>
                <w:b w:val="0"/>
                <w:color w:val="auto"/>
                <w:sz w:val="28"/>
              </w:rPr>
              <w:t>海南师范大学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2269" w:type="dxa"/>
            <w:vAlign w:val="center"/>
          </w:tcPr>
          <w:p>
            <w:pPr>
              <w:jc w:val="center"/>
              <w:rPr>
                <w:rFonts w:eastAsia="仿宋_GB2312"/>
                <w:bCs/>
                <w:sz w:val="28"/>
                <w:szCs w:val="28"/>
              </w:rPr>
            </w:pPr>
            <w:r>
              <w:rPr>
                <w:rStyle w:val="8"/>
                <w:rFonts w:eastAsia="仿宋_GB2312"/>
                <w:b w:val="0"/>
                <w:color w:val="auto"/>
                <w:sz w:val="28"/>
                <w:szCs w:val="28"/>
              </w:rPr>
              <w:t>提名意见</w:t>
            </w:r>
          </w:p>
        </w:tc>
        <w:tc>
          <w:tcPr>
            <w:tcW w:w="6755" w:type="dxa"/>
            <w:vAlign w:val="center"/>
          </w:tcPr>
          <w:p>
            <w:pPr>
              <w:spacing w:line="360" w:lineRule="auto"/>
              <w:ind w:firstLine="480" w:firstLineChars="200"/>
              <w:rPr>
                <w:sz w:val="24"/>
              </w:rPr>
            </w:pPr>
            <w:r>
              <w:rPr>
                <w:rFonts w:hint="eastAsia"/>
                <w:sz w:val="24"/>
              </w:rPr>
              <w:t>生物多样性保护是国家战略，外来物种入侵是威胁生物多样性的三大因素之一。二十大报告强调了生物多样性保护和防治外来物种侵害的重要性。龟鳖类是生物多样性的重要组成部分，极度濒危，亟待保护。红耳龟是世界上最具危害性的外来入侵物种之一，亟需加强防控。</w:t>
            </w:r>
          </w:p>
          <w:p>
            <w:pPr>
              <w:spacing w:line="360" w:lineRule="auto"/>
              <w:ind w:firstLine="480" w:firstLineChars="200"/>
              <w:rPr>
                <w:sz w:val="24"/>
              </w:rPr>
            </w:pPr>
            <w:r>
              <w:rPr>
                <w:rFonts w:hint="eastAsia"/>
                <w:sz w:val="24"/>
              </w:rPr>
              <w:t>该项目揭示了龟鳖类生态适应、濒危成因、入侵威胁及致危机制，推进了我国珍稀濒危龟鳖多样性的保护、立法、管理及外来入侵龟类危害的防控，促进了生物多样性保护和生态文明建设。</w:t>
            </w:r>
          </w:p>
          <w:p>
            <w:pPr>
              <w:spacing w:line="360" w:lineRule="auto"/>
              <w:ind w:firstLine="480" w:firstLineChars="200"/>
              <w:rPr>
                <w:sz w:val="24"/>
              </w:rPr>
            </w:pPr>
            <w:r>
              <w:rPr>
                <w:rFonts w:hint="eastAsia"/>
                <w:sz w:val="24"/>
              </w:rPr>
              <w:t>该项目获国际龟类保护最高奖、全国水生野生动物保护突出贡献奖、海龟勇士奖、全国科普工作先进集体、全国“大思政课”实践教学基地、全国优秀科普作品奖、中国青年志愿服务项目大赛金奖、海南省工人先锋号等荣誉。创建了国内外独具特色的龟鳖博物馆和全国高校首家海龟救助站。在我国龟鳖保护、人才培养、社会服务等方面做出突出贡献。</w:t>
            </w:r>
          </w:p>
          <w:p>
            <w:pPr>
              <w:spacing w:line="360" w:lineRule="auto"/>
              <w:ind w:firstLine="480" w:firstLineChars="200"/>
              <w:rPr>
                <w:sz w:val="24"/>
              </w:rPr>
            </w:pPr>
            <w:r>
              <w:rPr>
                <w:rFonts w:hint="eastAsia"/>
                <w:sz w:val="24"/>
              </w:rPr>
              <w:t>该项目获国家自然科学基金重大国际合作等10项国家级项目资助，在Science、Nature等期刊发表龟鳖类论文120篇，其中62篇SCI收录论文的总影响因子350，他引次数890次，近十年论文数量、质量和影响力在国际龟鳖领域排名第一。</w:t>
            </w:r>
          </w:p>
          <w:p>
            <w:pPr>
              <w:spacing w:line="360" w:lineRule="auto"/>
              <w:ind w:firstLine="480" w:firstLineChars="200"/>
              <w:rPr>
                <w:sz w:val="24"/>
              </w:rPr>
            </w:pPr>
            <w:r>
              <w:rPr>
                <w:rFonts w:hint="eastAsia"/>
                <w:sz w:val="24"/>
              </w:rPr>
              <w:t>同意提名推荐该项目申报海南省科技进步奖。</w:t>
            </w:r>
          </w:p>
          <w:p>
            <w:pPr>
              <w:contextualSpacing/>
              <w:rPr>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3" w:hRule="atLeast"/>
          <w:jc w:val="center"/>
        </w:trPr>
        <w:tc>
          <w:tcPr>
            <w:tcW w:w="2269" w:type="dxa"/>
            <w:tcBorders>
              <w:right w:val="single" w:color="auto" w:sz="4" w:space="0"/>
            </w:tcBorders>
            <w:vAlign w:val="center"/>
          </w:tcPr>
          <w:p>
            <w:pPr>
              <w:spacing w:line="440" w:lineRule="exact"/>
              <w:jc w:val="center"/>
              <w:rPr>
                <w:rFonts w:eastAsia="仿宋_GB2312"/>
                <w:bCs/>
                <w:sz w:val="28"/>
                <w:szCs w:val="24"/>
              </w:rPr>
            </w:pPr>
            <w:r>
              <w:rPr>
                <w:rFonts w:hint="eastAsia" w:eastAsia="仿宋_GB2312"/>
                <w:bCs/>
                <w:sz w:val="28"/>
                <w:szCs w:val="24"/>
              </w:rPr>
              <w:t>项目简介</w:t>
            </w:r>
          </w:p>
        </w:tc>
        <w:tc>
          <w:tcPr>
            <w:tcW w:w="6755" w:type="dxa"/>
            <w:tcBorders>
              <w:left w:val="single" w:color="auto" w:sz="4" w:space="0"/>
            </w:tcBorders>
            <w:vAlign w:val="center"/>
          </w:tcPr>
          <w:p>
            <w:pPr>
              <w:spacing w:line="360" w:lineRule="auto"/>
              <w:ind w:firstLine="480" w:firstLineChars="200"/>
              <w:rPr>
                <w:sz w:val="24"/>
              </w:rPr>
            </w:pPr>
            <w:r>
              <w:rPr>
                <w:rFonts w:hint="eastAsia"/>
                <w:sz w:val="24"/>
              </w:rPr>
              <w:t>生物多样性保护是国家战略，外来物种入侵是威胁生物多样性的三大因素之一。二十大报告强调了生物多样性保护和防治外来物种侵害的重要性。龟鳖类是生物多样性的重要组成部分，极度濒危，亟待保护。红耳龟是世界上最具危害性的外来入侵物种之一，亟需加强防控。</w:t>
            </w:r>
          </w:p>
          <w:p>
            <w:pPr>
              <w:widowControl/>
              <w:shd w:val="clear" w:color="auto" w:fill="FFFFFF"/>
              <w:spacing w:line="360" w:lineRule="auto"/>
              <w:ind w:firstLine="480" w:firstLineChars="200"/>
              <w:jc w:val="left"/>
              <w:rPr>
                <w:sz w:val="24"/>
              </w:rPr>
            </w:pPr>
            <w:r>
              <w:rPr>
                <w:rFonts w:hint="eastAsia"/>
                <w:sz w:val="24"/>
              </w:rPr>
              <w:t>本项目揭示了龟鳖类生态适应、濒危成因、入侵威胁及致危机制，推进了我国珍稀濒危龟鳖多样性的保护、立法、管理及外来入侵龟类危害的防控，促进了生物多样性保护和生态文明建设，产生了显著的生态、社会和经济效益。</w:t>
            </w:r>
          </w:p>
          <w:p>
            <w:pPr>
              <w:spacing w:line="360" w:lineRule="auto"/>
              <w:ind w:firstLine="480" w:firstLineChars="200"/>
              <w:rPr>
                <w:sz w:val="24"/>
              </w:rPr>
            </w:pPr>
            <w:r>
              <w:rPr>
                <w:rFonts w:hint="eastAsia"/>
                <w:sz w:val="24"/>
              </w:rPr>
              <w:t>本项目获国际龟类保护最高奖—Behler奖、全国水生野生动物保护突出贡献奖、海龟勇士奖、全国科普工作先进集体、全国“大思政课”实践教学基地、全国优秀科普作品奖、中国青年志愿服务项目大赛金奖、海南省工人先锋号、海南省劳模和工匠人才创新工作室等荣誉。成果得到《Science》、央视新闻联播、焦点访谈、参考消息、新华社、CNN等国内外媒体报道。</w:t>
            </w:r>
          </w:p>
          <w:p>
            <w:pPr>
              <w:spacing w:line="360" w:lineRule="auto"/>
              <w:ind w:firstLine="480" w:firstLineChars="200"/>
              <w:rPr>
                <w:sz w:val="24"/>
              </w:rPr>
            </w:pPr>
            <w:r>
              <w:rPr>
                <w:rFonts w:hint="eastAsia"/>
                <w:sz w:val="24"/>
              </w:rPr>
              <w:t>创建了国内外独具特色的龟鳖博物馆，为全国各地进行免费物种鉴定和培训。成立全国高校首家海龟救助站，长期义务开展海龟救助救护，培训大批志愿者，举办多种科普宣传活动。制作及收藏了大量珍贵标本，完成的环评项目为我国企业降低大量成本。编著的中国贸易龟类检索图鉴英文版在世界多个国家保护管理、执法培训中得到广泛应用。在龟鳖保护、人才培养、社会服务等方面做出突出贡献。</w:t>
            </w:r>
          </w:p>
          <w:p>
            <w:pPr>
              <w:widowControl/>
              <w:shd w:val="clear" w:color="auto" w:fill="FFFFFF"/>
              <w:spacing w:line="360" w:lineRule="auto"/>
              <w:ind w:firstLine="480" w:firstLineChars="200"/>
              <w:jc w:val="left"/>
              <w:rPr>
                <w:sz w:val="24"/>
              </w:rPr>
            </w:pPr>
            <w:r>
              <w:rPr>
                <w:rFonts w:hint="eastAsia"/>
                <w:sz w:val="24"/>
              </w:rPr>
              <w:t>发现西沙海域的绿海龟是一个独立的地理种群，丰富了全球海龟多样性，</w:t>
            </w:r>
            <w:r>
              <w:rPr>
                <w:sz w:val="24"/>
              </w:rPr>
              <w:t>提升</w:t>
            </w:r>
            <w:r>
              <w:rPr>
                <w:rFonts w:hint="eastAsia"/>
                <w:sz w:val="24"/>
              </w:rPr>
              <w:t>了我国</w:t>
            </w:r>
            <w:r>
              <w:rPr>
                <w:sz w:val="24"/>
              </w:rPr>
              <w:t>海龟种群的</w:t>
            </w:r>
            <w:r>
              <w:rPr>
                <w:rFonts w:hint="eastAsia"/>
                <w:sz w:val="24"/>
              </w:rPr>
              <w:t>独特</w:t>
            </w:r>
            <w:r>
              <w:rPr>
                <w:sz w:val="24"/>
              </w:rPr>
              <w:t>地位</w:t>
            </w:r>
            <w:r>
              <w:rPr>
                <w:rFonts w:hint="eastAsia"/>
                <w:sz w:val="24"/>
              </w:rPr>
              <w:t xml:space="preserve">和保护价值。揭示过度利用、产卵场污染等绿海龟的致危因素，促进南海生物多样性保护及海洋国家公园建设。揭示了红耳龟在野外繁殖、竞争的入侵机制，威胁我国2/3以上的本土龟鳖物种的生存，为防控该物种的危害提供了管理举措。发现黄额闭壳龟等珍稀濒危龟类的生态位分化机制，揭示环境因子对龟鳖生存的胁迫机制。提出 “结构混隐”这一新的伪装策略，拓展了混隐色的理论。发现四眼斑水龟具有乔装行为，该行为在脊椎动物是首次报导。为龟鳖栖息地原真性和完整性保护提供管理依据。  </w:t>
            </w:r>
          </w:p>
          <w:p>
            <w:pPr>
              <w:widowControl/>
              <w:shd w:val="clear" w:color="auto" w:fill="FFFFFF"/>
              <w:spacing w:line="360" w:lineRule="auto"/>
              <w:ind w:firstLine="480" w:firstLineChars="200"/>
              <w:jc w:val="left"/>
              <w:rPr>
                <w:sz w:val="24"/>
              </w:rPr>
            </w:pPr>
            <w:r>
              <w:rPr>
                <w:rFonts w:hint="eastAsia"/>
                <w:sz w:val="24"/>
              </w:rPr>
              <w:t>发现龟鳖物种是保护效果理想的指示物种，揭示保护区保护不力的问题根源，使国家重点保护龟鳖物种由35%提升至88%，市场贸易的野生龟鳖数量下降98%以上。龟鳖动物保护寓于野生动物保护之中，野生动物整体保护效果直接影响龟鳖类群的保护。提出先进的野生动物保护与管理理念，为我国野生动物保护体制机制设置及野生动物保护法的修订提供了决策参考。</w:t>
            </w:r>
          </w:p>
          <w:p>
            <w:pPr>
              <w:spacing w:line="360" w:lineRule="auto"/>
              <w:ind w:firstLine="480" w:firstLineChars="200"/>
              <w:rPr>
                <w:sz w:val="24"/>
              </w:rPr>
            </w:pPr>
            <w:r>
              <w:rPr>
                <w:rFonts w:hint="eastAsia"/>
                <w:sz w:val="24"/>
              </w:rPr>
              <w:t>本项目获国家自然科学基金重大国际合作等10项国家级项目资助，在Science、Nature等期刊发表龟鳖类论文120篇，其中62篇SCI收录论文的总影响因子350，他引次数890次，近十年的论文数量、质量和影响力在国际龟鳖领域排名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jc w:val="center"/>
        </w:trPr>
        <w:tc>
          <w:tcPr>
            <w:tcW w:w="2269" w:type="dxa"/>
            <w:tcBorders>
              <w:right w:val="single" w:color="auto" w:sz="4" w:space="0"/>
            </w:tcBorders>
            <w:vAlign w:val="center"/>
          </w:tcPr>
          <w:p>
            <w:pPr>
              <w:spacing w:line="440" w:lineRule="exact"/>
              <w:jc w:val="center"/>
              <w:rPr>
                <w:rFonts w:eastAsia="仿宋_GB2312"/>
                <w:bCs/>
                <w:sz w:val="28"/>
                <w:szCs w:val="24"/>
              </w:rPr>
            </w:pPr>
            <w:r>
              <w:rPr>
                <w:rFonts w:eastAsia="仿宋_GB2312"/>
                <w:bCs/>
                <w:sz w:val="28"/>
                <w:szCs w:val="24"/>
              </w:rPr>
              <w:t>提名书</w:t>
            </w:r>
          </w:p>
          <w:p>
            <w:pPr>
              <w:spacing w:line="440" w:lineRule="exact"/>
              <w:jc w:val="center"/>
              <w:rPr>
                <w:rFonts w:eastAsia="仿宋_GB2312"/>
                <w:bCs/>
                <w:sz w:val="28"/>
                <w:szCs w:val="24"/>
              </w:rPr>
            </w:pPr>
            <w:r>
              <w:rPr>
                <w:rFonts w:eastAsia="仿宋_GB2312"/>
                <w:bCs/>
                <w:sz w:val="28"/>
                <w:szCs w:val="24"/>
              </w:rPr>
              <w:t>相关内容</w:t>
            </w:r>
          </w:p>
        </w:tc>
        <w:tc>
          <w:tcPr>
            <w:tcW w:w="6755" w:type="dxa"/>
            <w:tcBorders>
              <w:left w:val="single" w:color="auto" w:sz="4" w:space="0"/>
            </w:tcBorders>
            <w:vAlign w:val="center"/>
          </w:tcPr>
          <w:p>
            <w:pPr>
              <w:spacing w:line="360" w:lineRule="auto"/>
              <w:ind w:left="420" w:hanging="420" w:hangingChars="200"/>
              <w:jc w:val="left"/>
            </w:pPr>
            <w:r>
              <w:rPr>
                <w:bCs/>
              </w:rPr>
              <w:t>Shi Haitao</w:t>
            </w:r>
            <w:r>
              <w:t>, Wang Jian</w:t>
            </w:r>
            <w:r>
              <w:rPr>
                <w:vertAlign w:val="superscript"/>
              </w:rPr>
              <w:t>*</w:t>
            </w:r>
            <w:r>
              <w:t>, Chen H</w:t>
            </w:r>
            <w:r>
              <w:rPr>
                <w:rFonts w:hint="eastAsia"/>
              </w:rPr>
              <w:t>uaiqing</w:t>
            </w:r>
            <w:r>
              <w:t>, Parham F. James. 2021. China’s wildlife protection: add annual reviews and oversight. N</w:t>
            </w:r>
            <w:r>
              <w:rPr>
                <w:rFonts w:hint="eastAsia"/>
              </w:rPr>
              <w:t>ature</w:t>
            </w:r>
            <w:r>
              <w:t>, 592</w:t>
            </w:r>
            <w:r>
              <w:rPr>
                <w:rFonts w:hint="eastAsia"/>
              </w:rPr>
              <w:t>:</w:t>
            </w:r>
            <w:r>
              <w:t xml:space="preserve"> 685.</w:t>
            </w:r>
          </w:p>
          <w:p>
            <w:pPr>
              <w:spacing w:line="360" w:lineRule="auto"/>
              <w:ind w:left="420" w:hanging="420" w:hangingChars="200"/>
              <w:jc w:val="left"/>
            </w:pPr>
            <w:r>
              <w:t xml:space="preserve">Wang Jian, Parham F. James, </w:t>
            </w:r>
            <w:r>
              <w:rPr>
                <w:bCs/>
              </w:rPr>
              <w:t>Shi Haitao</w:t>
            </w:r>
            <w:r>
              <w:rPr>
                <w:szCs w:val="28"/>
                <w:vertAlign w:val="superscript"/>
              </w:rPr>
              <w:t>*</w:t>
            </w:r>
            <w:r>
              <w:t>. 2021</w:t>
            </w:r>
            <w:r>
              <w:rPr>
                <w:rFonts w:hint="eastAsia"/>
              </w:rPr>
              <w:t>.</w:t>
            </w:r>
            <w:r>
              <w:t xml:space="preserve"> China's turtles need protection in the wild. Science, 371(6528): 473.</w:t>
            </w:r>
          </w:p>
          <w:p>
            <w:pPr>
              <w:spacing w:line="360" w:lineRule="auto"/>
              <w:ind w:left="420" w:hanging="420" w:hangingChars="200"/>
              <w:jc w:val="left"/>
            </w:pPr>
            <w:r>
              <w:t>Gong S</w:t>
            </w:r>
            <w:r>
              <w:rPr>
                <w:rFonts w:hint="eastAsia"/>
              </w:rPr>
              <w:t>hiping</w:t>
            </w:r>
            <w:r>
              <w:t>, Wu J</w:t>
            </w:r>
            <w:r>
              <w:rPr>
                <w:rFonts w:hint="eastAsia"/>
              </w:rPr>
              <w:t>un</w:t>
            </w:r>
            <w:r>
              <w:t>, Gao Y</w:t>
            </w:r>
            <w:r>
              <w:rPr>
                <w:rFonts w:hint="eastAsia"/>
              </w:rPr>
              <w:t>angchun</w:t>
            </w:r>
            <w:r>
              <w:t xml:space="preserve">, Fong Jonathan, Parham James, and </w:t>
            </w:r>
            <w:r>
              <w:rPr>
                <w:bCs/>
              </w:rPr>
              <w:t>Shi H</w:t>
            </w:r>
            <w:r>
              <w:rPr>
                <w:rFonts w:hint="eastAsia"/>
                <w:bCs/>
              </w:rPr>
              <w:t>aitao</w:t>
            </w:r>
            <w:r>
              <w:rPr>
                <w:vertAlign w:val="superscript"/>
              </w:rPr>
              <w:t>*</w:t>
            </w:r>
            <w:r>
              <w:t>. 2020. Integrating and updating wildlife conservation in China. Current Biology</w:t>
            </w:r>
            <w:r>
              <w:rPr>
                <w:rFonts w:hint="eastAsia"/>
              </w:rPr>
              <w:t>,</w:t>
            </w:r>
            <w:r>
              <w:t xml:space="preserve"> 30: 915-919.</w:t>
            </w:r>
          </w:p>
          <w:p>
            <w:pPr>
              <w:spacing w:line="360" w:lineRule="auto"/>
              <w:ind w:left="420" w:hanging="420" w:hangingChars="200"/>
              <w:jc w:val="left"/>
            </w:pPr>
            <w:r>
              <w:t>Gong S</w:t>
            </w:r>
            <w:r>
              <w:rPr>
                <w:rFonts w:hint="eastAsia"/>
              </w:rPr>
              <w:t>hiping</w:t>
            </w:r>
            <w:r>
              <w:t xml:space="preserve">, </w:t>
            </w:r>
            <w:r>
              <w:rPr>
                <w:bCs/>
              </w:rPr>
              <w:t>Shi H</w:t>
            </w:r>
            <w:r>
              <w:rPr>
                <w:rFonts w:hint="eastAsia"/>
                <w:bCs/>
              </w:rPr>
              <w:t>aitao</w:t>
            </w:r>
            <w:r>
              <w:t>*, Jiang A</w:t>
            </w:r>
            <w:r>
              <w:rPr>
                <w:rFonts w:hint="eastAsia"/>
              </w:rPr>
              <w:t>iwu</w:t>
            </w:r>
            <w:r>
              <w:t xml:space="preserve">, Fong Jonathan J, Daniel Gaillard, </w:t>
            </w:r>
            <w:r>
              <w:rPr>
                <w:bCs/>
              </w:rPr>
              <w:t>Wang J</w:t>
            </w:r>
            <w:r>
              <w:rPr>
                <w:rFonts w:hint="eastAsia"/>
                <w:bCs/>
              </w:rPr>
              <w:t>ichao</w:t>
            </w:r>
            <w:r>
              <w:t>. 2017. Disappearance of endangered turtles within China’s nature reserves. Current Biolog</w:t>
            </w:r>
            <w:r>
              <w:rPr>
                <w:rFonts w:hint="eastAsia"/>
              </w:rPr>
              <w:t>y</w:t>
            </w:r>
            <w:r>
              <w:t>, 27(5): 170–171.</w:t>
            </w:r>
          </w:p>
          <w:p>
            <w:pPr>
              <w:spacing w:line="360" w:lineRule="auto"/>
              <w:ind w:left="420" w:hanging="420" w:hangingChars="200"/>
              <w:jc w:val="left"/>
            </w:pPr>
            <w:r>
              <w:rPr>
                <w:bCs/>
              </w:rPr>
              <w:t>Ding Li</w:t>
            </w:r>
            <w:r>
              <w:rPr>
                <w:vertAlign w:val="superscript"/>
              </w:rPr>
              <w:t>#</w:t>
            </w:r>
            <w:r>
              <w:t>, Li Weihao</w:t>
            </w:r>
            <w:r>
              <w:rPr>
                <w:vertAlign w:val="superscript"/>
              </w:rPr>
              <w:t>#</w:t>
            </w:r>
            <w:r>
              <w:t>, Liang Lingyue, Huang Zubin, Li Na, Zhang Jiliang, Shi Haitao,</w:t>
            </w:r>
            <w:r>
              <w:rPr>
                <w:rFonts w:hint="eastAsia"/>
              </w:rPr>
              <w:t xml:space="preserve"> </w:t>
            </w:r>
            <w:r>
              <w:t>Kenneth B. Storey,</w:t>
            </w:r>
            <w:r>
              <w:rPr>
                <w:bCs/>
              </w:rPr>
              <w:t xml:space="preserve"> Hong Meiling</w:t>
            </w:r>
            <w:r>
              <w:rPr>
                <w:vertAlign w:val="superscript"/>
              </w:rPr>
              <w:t>*</w:t>
            </w:r>
            <w:r>
              <w:t>. 2021</w:t>
            </w:r>
            <w:r>
              <w:rPr>
                <w:rFonts w:hint="eastAsia"/>
              </w:rPr>
              <w:t xml:space="preserve">. </w:t>
            </w:r>
            <w:r>
              <w:t>Modulation of the intestinal barrier adaptive functions in red</w:t>
            </w:r>
            <w:r>
              <w:rPr>
                <w:rFonts w:hint="eastAsia"/>
              </w:rPr>
              <w:t xml:space="preserve"> </w:t>
            </w:r>
            <w:r>
              <w:t>eared</w:t>
            </w:r>
            <w:r>
              <w:rPr>
                <w:rFonts w:hint="eastAsia"/>
              </w:rPr>
              <w:t xml:space="preserve"> </w:t>
            </w:r>
            <w:r>
              <w:t>slider (</w:t>
            </w:r>
            <w:r>
              <w:rPr>
                <w:i/>
                <w:iCs/>
              </w:rPr>
              <w:t>Trachemys scripta elegans</w:t>
            </w:r>
            <w:r>
              <w:t>) invading brackish waters. Science of the Total Environment, 751</w:t>
            </w:r>
            <w:r>
              <w:rPr>
                <w:rFonts w:hint="eastAsia"/>
              </w:rPr>
              <w:t>:</w:t>
            </w:r>
            <w:r>
              <w:t xml:space="preserve"> </w:t>
            </w:r>
            <w:r>
              <w:rPr>
                <w:rFonts w:hint="eastAsia"/>
              </w:rPr>
              <w:t>e</w:t>
            </w:r>
            <w:r>
              <w:t>141744</w:t>
            </w:r>
            <w:r>
              <w:rPr>
                <w:rFonts w:hint="eastAsia"/>
              </w:rPr>
              <w:t>.</w:t>
            </w:r>
          </w:p>
          <w:p>
            <w:pPr>
              <w:spacing w:line="360" w:lineRule="auto"/>
              <w:ind w:left="420" w:hanging="420" w:hangingChars="200"/>
              <w:jc w:val="left"/>
            </w:pPr>
            <w:r>
              <w:rPr>
                <w:bCs/>
              </w:rPr>
              <w:t>Lin Liu</w:t>
            </w:r>
            <w:r>
              <w:t xml:space="preserve">, Li Songhai, Chen Min, Parham F. James, </w:t>
            </w:r>
            <w:r>
              <w:rPr>
                <w:bCs/>
              </w:rPr>
              <w:t>Shi Haitao</w:t>
            </w:r>
            <w:r>
              <w:rPr>
                <w:vertAlign w:val="superscript"/>
              </w:rPr>
              <w:t>*</w:t>
            </w:r>
            <w:r>
              <w:t>.2021. Sea turtle demand in China threatens the survival of wild populations. iScience, 24(6): 102517.</w:t>
            </w:r>
          </w:p>
          <w:p>
            <w:pPr>
              <w:snapToGrid w:val="0"/>
              <w:spacing w:line="360" w:lineRule="auto"/>
              <w:ind w:left="420" w:hanging="420" w:hangingChars="200"/>
              <w:contextualSpacing/>
            </w:pPr>
            <w:r>
              <w:rPr>
                <w:rFonts w:hint="eastAsia"/>
              </w:rPr>
              <w:t>J</w:t>
            </w:r>
            <w:r>
              <w:t>ian L</w:t>
            </w:r>
            <w:r>
              <w:rPr>
                <w:rFonts w:hint="eastAsia"/>
              </w:rPr>
              <w:t>i</w:t>
            </w:r>
            <w:r>
              <w:t>, Guo R</w:t>
            </w:r>
            <w:r>
              <w:rPr>
                <w:rFonts w:hint="eastAsia"/>
              </w:rPr>
              <w:t>ui</w:t>
            </w:r>
            <w:r>
              <w:t xml:space="preserve">, Zheng Xiaobo, </w:t>
            </w:r>
            <w:r>
              <w:rPr>
                <w:bCs/>
              </w:rPr>
              <w:t>Shi Haitao</w:t>
            </w:r>
            <w:r>
              <w:t xml:space="preserve">, </w:t>
            </w:r>
            <w:r>
              <w:rPr>
                <w:bCs/>
              </w:rPr>
              <w:t>Wang Jichao</w:t>
            </w:r>
            <w:r>
              <w:rPr>
                <w:vertAlign w:val="superscript"/>
              </w:rPr>
              <w:t>*</w:t>
            </w:r>
            <w:r>
              <w:t>. 2021. Trace elements in green turtle eggshells and coral sand sediments from the Xisha Islands, South China Sea. Marine Pollution Bulletin, 164: e112036.</w:t>
            </w:r>
          </w:p>
          <w:p>
            <w:pPr>
              <w:snapToGrid w:val="0"/>
              <w:spacing w:line="360" w:lineRule="auto"/>
              <w:ind w:left="420" w:hanging="420" w:hangingChars="200"/>
              <w:contextualSpacing/>
            </w:pPr>
            <w:r>
              <w:rPr>
                <w:rFonts w:hint="eastAsia"/>
              </w:rPr>
              <w:t xml:space="preserve">洪美玲，史海涛，丁利（著）. 2019. 外来物种红耳龟入侵半咸水的生理生态机制. 科学出版社.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269" w:type="dxa"/>
            <w:vAlign w:val="center"/>
          </w:tcPr>
          <w:p>
            <w:pPr>
              <w:spacing w:line="440" w:lineRule="exact"/>
              <w:jc w:val="center"/>
              <w:rPr>
                <w:rFonts w:eastAsia="仿宋_GB2312"/>
                <w:bCs/>
                <w:sz w:val="28"/>
                <w:szCs w:val="24"/>
              </w:rPr>
            </w:pPr>
            <w:r>
              <w:rPr>
                <w:rFonts w:eastAsia="仿宋_GB2312"/>
                <w:bCs/>
                <w:sz w:val="28"/>
                <w:szCs w:val="24"/>
              </w:rPr>
              <w:t>主要完成人</w:t>
            </w:r>
          </w:p>
        </w:tc>
        <w:tc>
          <w:tcPr>
            <w:tcW w:w="6755" w:type="dxa"/>
            <w:vAlign w:val="center"/>
          </w:tcPr>
          <w:p>
            <w:pPr>
              <w:spacing w:line="360" w:lineRule="auto"/>
              <w:rPr>
                <w:rFonts w:eastAsia="仿宋_GB2312"/>
                <w:bCs/>
                <w:sz w:val="24"/>
                <w:szCs w:val="24"/>
              </w:rPr>
            </w:pPr>
            <w:r>
              <w:rPr>
                <w:rFonts w:hint="eastAsia" w:eastAsia="仿宋_GB2312"/>
                <w:bCs/>
                <w:sz w:val="24"/>
                <w:szCs w:val="24"/>
              </w:rPr>
              <w:t>史海涛</w:t>
            </w:r>
            <w:r>
              <w:rPr>
                <w:rFonts w:eastAsia="仿宋_GB2312"/>
                <w:bCs/>
                <w:sz w:val="24"/>
                <w:szCs w:val="24"/>
              </w:rPr>
              <w:t>，排名1，</w:t>
            </w:r>
            <w:r>
              <w:rPr>
                <w:rFonts w:hint="eastAsia" w:eastAsia="仿宋_GB2312"/>
                <w:bCs/>
                <w:sz w:val="24"/>
                <w:szCs w:val="24"/>
              </w:rPr>
              <w:t>教  授</w:t>
            </w:r>
            <w:r>
              <w:rPr>
                <w:rFonts w:eastAsia="仿宋_GB2312"/>
                <w:bCs/>
                <w:sz w:val="24"/>
                <w:szCs w:val="24"/>
              </w:rPr>
              <w:t>，</w:t>
            </w:r>
            <w:r>
              <w:rPr>
                <w:rFonts w:hint="eastAsia" w:eastAsia="仿宋_GB2312"/>
                <w:bCs/>
                <w:sz w:val="24"/>
                <w:szCs w:val="24"/>
              </w:rPr>
              <w:t>海南师范大学</w:t>
            </w:r>
          </w:p>
          <w:p>
            <w:pPr>
              <w:spacing w:line="360" w:lineRule="auto"/>
              <w:rPr>
                <w:rFonts w:eastAsia="仿宋_GB2312"/>
                <w:bCs/>
                <w:sz w:val="24"/>
                <w:szCs w:val="24"/>
              </w:rPr>
            </w:pPr>
            <w:r>
              <w:rPr>
                <w:rFonts w:hint="eastAsia" w:eastAsia="仿宋_GB2312"/>
                <w:bCs/>
                <w:sz w:val="24"/>
                <w:szCs w:val="24"/>
              </w:rPr>
              <w:t>汪继超</w:t>
            </w:r>
            <w:r>
              <w:rPr>
                <w:rFonts w:eastAsia="仿宋_GB2312"/>
                <w:bCs/>
                <w:sz w:val="24"/>
                <w:szCs w:val="24"/>
              </w:rPr>
              <w:t>，排名2，</w:t>
            </w:r>
            <w:r>
              <w:rPr>
                <w:rFonts w:hint="eastAsia" w:eastAsia="仿宋_GB2312"/>
                <w:bCs/>
                <w:sz w:val="24"/>
                <w:szCs w:val="24"/>
              </w:rPr>
              <w:t>教  授</w:t>
            </w:r>
            <w:r>
              <w:rPr>
                <w:rFonts w:eastAsia="仿宋_GB2312"/>
                <w:bCs/>
                <w:sz w:val="24"/>
                <w:szCs w:val="24"/>
              </w:rPr>
              <w:t>，</w:t>
            </w:r>
            <w:r>
              <w:rPr>
                <w:rFonts w:hint="eastAsia" w:eastAsia="仿宋_GB2312"/>
                <w:bCs/>
                <w:sz w:val="24"/>
                <w:szCs w:val="24"/>
              </w:rPr>
              <w:t>海南师范大学</w:t>
            </w:r>
          </w:p>
          <w:p>
            <w:pPr>
              <w:spacing w:line="360" w:lineRule="auto"/>
              <w:rPr>
                <w:rFonts w:eastAsia="仿宋_GB2312"/>
                <w:bCs/>
                <w:sz w:val="24"/>
                <w:szCs w:val="24"/>
              </w:rPr>
            </w:pPr>
            <w:r>
              <w:rPr>
                <w:rFonts w:hint="eastAsia" w:eastAsia="仿宋_GB2312"/>
                <w:bCs/>
                <w:sz w:val="24"/>
                <w:szCs w:val="24"/>
              </w:rPr>
              <w:t>洪美玲</w:t>
            </w:r>
            <w:r>
              <w:rPr>
                <w:rFonts w:eastAsia="仿宋_GB2312"/>
                <w:bCs/>
                <w:sz w:val="24"/>
                <w:szCs w:val="24"/>
              </w:rPr>
              <w:t>，排名3，</w:t>
            </w:r>
            <w:r>
              <w:rPr>
                <w:rFonts w:hint="eastAsia" w:eastAsia="仿宋_GB2312"/>
                <w:bCs/>
                <w:sz w:val="24"/>
                <w:szCs w:val="24"/>
              </w:rPr>
              <w:t>教  授</w:t>
            </w:r>
            <w:r>
              <w:rPr>
                <w:rFonts w:eastAsia="仿宋_GB2312"/>
                <w:bCs/>
                <w:sz w:val="24"/>
                <w:szCs w:val="24"/>
              </w:rPr>
              <w:t>，</w:t>
            </w:r>
            <w:r>
              <w:rPr>
                <w:rFonts w:hint="eastAsia" w:eastAsia="仿宋_GB2312"/>
                <w:bCs/>
                <w:sz w:val="24"/>
                <w:szCs w:val="24"/>
              </w:rPr>
              <w:t>海南师范大学</w:t>
            </w:r>
          </w:p>
          <w:p>
            <w:pPr>
              <w:spacing w:line="360" w:lineRule="auto"/>
              <w:rPr>
                <w:rFonts w:eastAsia="仿宋_GB2312"/>
                <w:bCs/>
                <w:sz w:val="24"/>
                <w:szCs w:val="24"/>
              </w:rPr>
            </w:pPr>
            <w:r>
              <w:rPr>
                <w:rFonts w:hint="eastAsia" w:eastAsia="仿宋_GB2312"/>
                <w:bCs/>
                <w:sz w:val="24"/>
                <w:szCs w:val="24"/>
              </w:rPr>
              <w:t>林  柳</w:t>
            </w:r>
            <w:r>
              <w:rPr>
                <w:rFonts w:eastAsia="仿宋_GB2312"/>
                <w:bCs/>
                <w:sz w:val="24"/>
                <w:szCs w:val="24"/>
              </w:rPr>
              <w:t>，排名</w:t>
            </w:r>
            <w:r>
              <w:rPr>
                <w:rFonts w:hint="eastAsia" w:eastAsia="仿宋_GB2312"/>
                <w:bCs/>
                <w:sz w:val="24"/>
                <w:szCs w:val="24"/>
              </w:rPr>
              <w:t>4</w:t>
            </w:r>
            <w:r>
              <w:rPr>
                <w:rFonts w:eastAsia="仿宋_GB2312"/>
                <w:bCs/>
                <w:sz w:val="24"/>
                <w:szCs w:val="24"/>
              </w:rPr>
              <w:t>，</w:t>
            </w:r>
            <w:r>
              <w:rPr>
                <w:rFonts w:hint="eastAsia" w:eastAsia="仿宋_GB2312"/>
                <w:bCs/>
                <w:sz w:val="24"/>
                <w:szCs w:val="24"/>
              </w:rPr>
              <w:t>副教授</w:t>
            </w:r>
            <w:r>
              <w:rPr>
                <w:rFonts w:eastAsia="仿宋_GB2312"/>
                <w:bCs/>
                <w:sz w:val="24"/>
                <w:szCs w:val="24"/>
              </w:rPr>
              <w:t>，</w:t>
            </w:r>
            <w:r>
              <w:rPr>
                <w:rFonts w:hint="eastAsia" w:eastAsia="仿宋_GB2312"/>
                <w:bCs/>
                <w:sz w:val="24"/>
                <w:szCs w:val="24"/>
              </w:rPr>
              <w:t>海南师范大学</w:t>
            </w:r>
          </w:p>
          <w:p>
            <w:pPr>
              <w:spacing w:line="360" w:lineRule="auto"/>
              <w:rPr>
                <w:rFonts w:eastAsia="仿宋_GB2312"/>
                <w:bCs/>
                <w:sz w:val="24"/>
                <w:szCs w:val="24"/>
              </w:rPr>
            </w:pPr>
            <w:r>
              <w:rPr>
                <w:rFonts w:hint="eastAsia" w:eastAsia="仿宋_GB2312"/>
                <w:bCs/>
                <w:sz w:val="24"/>
                <w:szCs w:val="24"/>
              </w:rPr>
              <w:t>丁  利</w:t>
            </w:r>
            <w:r>
              <w:rPr>
                <w:rFonts w:eastAsia="仿宋_GB2312"/>
                <w:bCs/>
                <w:sz w:val="24"/>
                <w:szCs w:val="24"/>
              </w:rPr>
              <w:t>，排名</w:t>
            </w:r>
            <w:r>
              <w:rPr>
                <w:rFonts w:hint="eastAsia" w:eastAsia="仿宋_GB2312"/>
                <w:bCs/>
                <w:sz w:val="24"/>
                <w:szCs w:val="24"/>
              </w:rPr>
              <w:t>5</w:t>
            </w:r>
            <w:r>
              <w:rPr>
                <w:rFonts w:eastAsia="仿宋_GB2312"/>
                <w:bCs/>
                <w:sz w:val="24"/>
                <w:szCs w:val="24"/>
              </w:rPr>
              <w:t>，</w:t>
            </w:r>
            <w:r>
              <w:rPr>
                <w:rFonts w:hint="eastAsia" w:eastAsia="仿宋_GB2312"/>
                <w:bCs/>
                <w:sz w:val="24"/>
                <w:szCs w:val="24"/>
              </w:rPr>
              <w:t>副教授</w:t>
            </w:r>
            <w:r>
              <w:rPr>
                <w:rFonts w:eastAsia="仿宋_GB2312"/>
                <w:bCs/>
                <w:sz w:val="24"/>
                <w:szCs w:val="24"/>
              </w:rPr>
              <w:t>，</w:t>
            </w:r>
            <w:r>
              <w:rPr>
                <w:rFonts w:hint="eastAsia" w:eastAsia="仿宋_GB2312"/>
                <w:bCs/>
                <w:sz w:val="24"/>
                <w:szCs w:val="24"/>
              </w:rPr>
              <w:t>海南师范大学</w:t>
            </w:r>
          </w:p>
          <w:p>
            <w:pPr>
              <w:spacing w:line="360" w:lineRule="auto"/>
              <w:rPr>
                <w:rFonts w:eastAsia="仿宋_GB2312"/>
                <w:bCs/>
                <w:sz w:val="24"/>
                <w:szCs w:val="24"/>
              </w:rPr>
            </w:pPr>
            <w:r>
              <w:rPr>
                <w:rFonts w:hint="eastAsia" w:eastAsia="仿宋_GB2312"/>
                <w:bCs/>
                <w:sz w:val="24"/>
                <w:szCs w:val="24"/>
              </w:rPr>
              <w:t>肖繁荣</w:t>
            </w:r>
            <w:r>
              <w:rPr>
                <w:rFonts w:eastAsia="仿宋_GB2312"/>
                <w:bCs/>
                <w:sz w:val="24"/>
                <w:szCs w:val="24"/>
              </w:rPr>
              <w:t>，排名</w:t>
            </w:r>
            <w:r>
              <w:rPr>
                <w:rFonts w:hint="eastAsia" w:eastAsia="仿宋_GB2312"/>
                <w:bCs/>
                <w:sz w:val="24"/>
                <w:szCs w:val="24"/>
              </w:rPr>
              <w:t>6</w:t>
            </w:r>
            <w:r>
              <w:rPr>
                <w:rFonts w:eastAsia="仿宋_GB2312"/>
                <w:bCs/>
                <w:sz w:val="24"/>
                <w:szCs w:val="24"/>
              </w:rPr>
              <w:t>，</w:t>
            </w:r>
            <w:r>
              <w:rPr>
                <w:rFonts w:hint="eastAsia" w:eastAsia="仿宋_GB2312"/>
                <w:bCs/>
                <w:sz w:val="24"/>
                <w:szCs w:val="24"/>
              </w:rPr>
              <w:t>讲  师</w:t>
            </w:r>
            <w:r>
              <w:rPr>
                <w:rFonts w:eastAsia="仿宋_GB2312"/>
                <w:bCs/>
                <w:sz w:val="24"/>
                <w:szCs w:val="24"/>
              </w:rPr>
              <w:t>，</w:t>
            </w:r>
            <w:r>
              <w:rPr>
                <w:rFonts w:hint="eastAsia" w:eastAsia="仿宋_GB2312"/>
                <w:bCs/>
                <w:sz w:val="24"/>
                <w:szCs w:val="24"/>
              </w:rPr>
              <w:t>海南师范大学</w:t>
            </w:r>
          </w:p>
          <w:p>
            <w:pPr>
              <w:spacing w:line="360" w:lineRule="auto"/>
              <w:rPr>
                <w:rFonts w:eastAsia="仿宋_GB2312"/>
                <w:bCs/>
                <w:sz w:val="24"/>
                <w:szCs w:val="24"/>
              </w:rPr>
            </w:pPr>
            <w:r>
              <w:rPr>
                <w:rFonts w:hint="eastAsia" w:eastAsia="仿宋_GB2312"/>
                <w:bCs/>
                <w:sz w:val="24"/>
                <w:szCs w:val="24"/>
              </w:rPr>
              <w:t>傅丽容</w:t>
            </w:r>
            <w:r>
              <w:rPr>
                <w:rFonts w:eastAsia="仿宋_GB2312"/>
                <w:bCs/>
                <w:sz w:val="24"/>
                <w:szCs w:val="24"/>
              </w:rPr>
              <w:t>，排名</w:t>
            </w:r>
            <w:r>
              <w:rPr>
                <w:rFonts w:hint="eastAsia" w:eastAsia="仿宋_GB2312"/>
                <w:bCs/>
                <w:sz w:val="24"/>
                <w:szCs w:val="24"/>
              </w:rPr>
              <w:t>7</w:t>
            </w:r>
            <w:r>
              <w:rPr>
                <w:rFonts w:eastAsia="仿宋_GB2312"/>
                <w:bCs/>
                <w:sz w:val="24"/>
                <w:szCs w:val="24"/>
              </w:rPr>
              <w:t>，</w:t>
            </w:r>
            <w:r>
              <w:rPr>
                <w:rFonts w:hint="eastAsia" w:eastAsia="仿宋_GB2312"/>
                <w:bCs/>
                <w:sz w:val="24"/>
                <w:szCs w:val="24"/>
              </w:rPr>
              <w:t>教  授</w:t>
            </w:r>
            <w:r>
              <w:rPr>
                <w:rFonts w:eastAsia="仿宋_GB2312"/>
                <w:bCs/>
                <w:sz w:val="24"/>
                <w:szCs w:val="24"/>
              </w:rPr>
              <w:t>，</w:t>
            </w:r>
            <w:r>
              <w:rPr>
                <w:rFonts w:hint="eastAsia" w:eastAsia="仿宋_GB2312"/>
                <w:bCs/>
                <w:sz w:val="24"/>
                <w:szCs w:val="24"/>
              </w:rPr>
              <w:t>海南师范大学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vAlign w:val="center"/>
          </w:tcPr>
          <w:p>
            <w:pPr>
              <w:spacing w:line="440" w:lineRule="exact"/>
              <w:jc w:val="center"/>
              <w:rPr>
                <w:rFonts w:eastAsia="仿宋"/>
                <w:bCs/>
                <w:sz w:val="24"/>
                <w:szCs w:val="24"/>
              </w:rPr>
            </w:pPr>
            <w:r>
              <w:rPr>
                <w:rFonts w:eastAsia="仿宋"/>
                <w:bCs/>
                <w:sz w:val="28"/>
                <w:szCs w:val="24"/>
              </w:rPr>
              <w:t>主要完成单位</w:t>
            </w:r>
          </w:p>
        </w:tc>
        <w:tc>
          <w:tcPr>
            <w:tcW w:w="6755" w:type="dxa"/>
            <w:vAlign w:val="center"/>
          </w:tcPr>
          <w:p>
            <w:pPr>
              <w:spacing w:line="440" w:lineRule="exact"/>
              <w:jc w:val="left"/>
              <w:rPr>
                <w:rFonts w:eastAsia="仿宋"/>
                <w:bCs/>
                <w:sz w:val="24"/>
                <w:szCs w:val="24"/>
              </w:rPr>
            </w:pPr>
            <w:r>
              <w:rPr>
                <w:rFonts w:hint="eastAsia" w:eastAsia="仿宋_GB2312"/>
                <w:bCs/>
                <w:sz w:val="24"/>
                <w:szCs w:val="24"/>
              </w:rPr>
              <w:t>海南师范大学</w:t>
            </w:r>
          </w:p>
        </w:tc>
      </w:tr>
    </w:tbl>
    <w:p/>
    <w:p>
      <w:pPr>
        <w:spacing w:line="440" w:lineRule="exact"/>
        <w:outlineLvl w:val="1"/>
        <w:rPr>
          <w:rFonts w:ascii="仿宋_GB2312" w:hAnsi="仿宋_GB2312" w:eastAsia="仿宋_GB2312" w:cs="仿宋_GB2312"/>
          <w:b/>
          <w:bCs/>
          <w:sz w:val="32"/>
          <w:szCs w:val="32"/>
        </w:rPr>
      </w:pPr>
    </w:p>
    <w:sectPr>
      <w:headerReference r:id="rId3" w:type="default"/>
      <w:footerReference r:id="rId4" w:type="default"/>
      <w:pgSz w:w="12240" w:h="15840"/>
      <w:pgMar w:top="1440" w:right="1417" w:bottom="1440" w:left="1587"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1025" o:spid="_x0000_s1026" o:spt="202" type="#_x0000_t202" style="position:absolute;left:0pt;margin-left:385.95pt;margin-top:-7.3pt;height:18.5pt;width:76.7pt;mso-position-horizontal-relative:margin;z-index:251659264;mso-width-relative:page;mso-height-relative:page;" filled="f" stroked="f" coordsize="21600,21600" o:gfxdata="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FCA+r9oAAAAKAQAADwAAAAAAAAABACAAAAAiAAAAZHJzL2Rvd25yZXYueG1s&#10;UEsBAhQAFAAAAAgAh07iQJ+3/eG9AQAAdAMAAA4AAAAAAAAAAQAgAAAAKQEAAGRycy9lMm9Eb2Mu&#10;eG1sUEsFBgAAAAAGAAYAWQEAAFgFAAAAAA==&#10;">
          <v:path/>
          <v:fill on="f" focussize="0,0"/>
          <v:stroke on="f" joinstyle="miter"/>
          <v:imagedata o:title=""/>
          <o:lock v:ext="edit"/>
          <v:textbox inset="0mm,0mm,0mm,0mm">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500"/>
  <w:drawingGridHorizontalSpacing w:val="1"/>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RlZGNkYzBkNTYyMWEwNDg2ZmQ4N2Q1Zjc4NzAzNGUifQ=="/>
  </w:docVars>
  <w:rsids>
    <w:rsidRoot w:val="00172A27"/>
    <w:rsid w:val="00000FAC"/>
    <w:rsid w:val="00002EB6"/>
    <w:rsid w:val="00006612"/>
    <w:rsid w:val="0002020A"/>
    <w:rsid w:val="00032C89"/>
    <w:rsid w:val="00046CF8"/>
    <w:rsid w:val="00052A46"/>
    <w:rsid w:val="000565AC"/>
    <w:rsid w:val="000A7093"/>
    <w:rsid w:val="000B1CB6"/>
    <w:rsid w:val="000C2D74"/>
    <w:rsid w:val="00101764"/>
    <w:rsid w:val="001161ED"/>
    <w:rsid w:val="00124289"/>
    <w:rsid w:val="001537E8"/>
    <w:rsid w:val="00172A27"/>
    <w:rsid w:val="001813D2"/>
    <w:rsid w:val="00183650"/>
    <w:rsid w:val="001839BE"/>
    <w:rsid w:val="001862BA"/>
    <w:rsid w:val="001955A9"/>
    <w:rsid w:val="001B44C5"/>
    <w:rsid w:val="001E543F"/>
    <w:rsid w:val="002268B3"/>
    <w:rsid w:val="00241442"/>
    <w:rsid w:val="00261FF6"/>
    <w:rsid w:val="002633D1"/>
    <w:rsid w:val="002A3B49"/>
    <w:rsid w:val="002B3436"/>
    <w:rsid w:val="002B6E4A"/>
    <w:rsid w:val="002D081C"/>
    <w:rsid w:val="002D2A3D"/>
    <w:rsid w:val="00306CC0"/>
    <w:rsid w:val="00331F59"/>
    <w:rsid w:val="00334AEE"/>
    <w:rsid w:val="003356F5"/>
    <w:rsid w:val="0034059C"/>
    <w:rsid w:val="00364596"/>
    <w:rsid w:val="00366036"/>
    <w:rsid w:val="003B4F2C"/>
    <w:rsid w:val="003B5778"/>
    <w:rsid w:val="003B5F12"/>
    <w:rsid w:val="003B7020"/>
    <w:rsid w:val="003D04DE"/>
    <w:rsid w:val="003F70CA"/>
    <w:rsid w:val="00404B64"/>
    <w:rsid w:val="00422EC9"/>
    <w:rsid w:val="0044747D"/>
    <w:rsid w:val="004521BD"/>
    <w:rsid w:val="004A4051"/>
    <w:rsid w:val="004C5EF1"/>
    <w:rsid w:val="00503344"/>
    <w:rsid w:val="0050533B"/>
    <w:rsid w:val="00511367"/>
    <w:rsid w:val="00521710"/>
    <w:rsid w:val="0054119A"/>
    <w:rsid w:val="0055086B"/>
    <w:rsid w:val="00561C0B"/>
    <w:rsid w:val="0057784D"/>
    <w:rsid w:val="00586151"/>
    <w:rsid w:val="005921DD"/>
    <w:rsid w:val="005B6AA7"/>
    <w:rsid w:val="005C453F"/>
    <w:rsid w:val="005C7CB1"/>
    <w:rsid w:val="005D48F5"/>
    <w:rsid w:val="005F28FB"/>
    <w:rsid w:val="006053FC"/>
    <w:rsid w:val="00612E6D"/>
    <w:rsid w:val="00616593"/>
    <w:rsid w:val="006178C3"/>
    <w:rsid w:val="00681EA7"/>
    <w:rsid w:val="00684B4A"/>
    <w:rsid w:val="006A593B"/>
    <w:rsid w:val="006B4DE3"/>
    <w:rsid w:val="006E12D6"/>
    <w:rsid w:val="006E25C8"/>
    <w:rsid w:val="00712F08"/>
    <w:rsid w:val="007203A4"/>
    <w:rsid w:val="007270C6"/>
    <w:rsid w:val="007763B8"/>
    <w:rsid w:val="00776658"/>
    <w:rsid w:val="00777252"/>
    <w:rsid w:val="007975C4"/>
    <w:rsid w:val="007A10BD"/>
    <w:rsid w:val="007B334E"/>
    <w:rsid w:val="007C1944"/>
    <w:rsid w:val="007D3094"/>
    <w:rsid w:val="007D6470"/>
    <w:rsid w:val="0082251C"/>
    <w:rsid w:val="00824E89"/>
    <w:rsid w:val="00827909"/>
    <w:rsid w:val="00843136"/>
    <w:rsid w:val="00894EF8"/>
    <w:rsid w:val="008A35B5"/>
    <w:rsid w:val="008B6ED1"/>
    <w:rsid w:val="008B6F1D"/>
    <w:rsid w:val="008D5AF4"/>
    <w:rsid w:val="008E76BC"/>
    <w:rsid w:val="008F1D2E"/>
    <w:rsid w:val="008F713A"/>
    <w:rsid w:val="009247FD"/>
    <w:rsid w:val="00932798"/>
    <w:rsid w:val="00947032"/>
    <w:rsid w:val="00961123"/>
    <w:rsid w:val="00967B71"/>
    <w:rsid w:val="00971605"/>
    <w:rsid w:val="00987F7C"/>
    <w:rsid w:val="0099161A"/>
    <w:rsid w:val="009D5D75"/>
    <w:rsid w:val="009F6E7C"/>
    <w:rsid w:val="00A21A94"/>
    <w:rsid w:val="00A36A38"/>
    <w:rsid w:val="00A479BE"/>
    <w:rsid w:val="00A6555F"/>
    <w:rsid w:val="00A7501D"/>
    <w:rsid w:val="00AC0156"/>
    <w:rsid w:val="00AD3A52"/>
    <w:rsid w:val="00AE6FFE"/>
    <w:rsid w:val="00B01B94"/>
    <w:rsid w:val="00B23670"/>
    <w:rsid w:val="00B26C18"/>
    <w:rsid w:val="00B27CB4"/>
    <w:rsid w:val="00B41A94"/>
    <w:rsid w:val="00B86E39"/>
    <w:rsid w:val="00B93647"/>
    <w:rsid w:val="00C042F1"/>
    <w:rsid w:val="00C10844"/>
    <w:rsid w:val="00C20807"/>
    <w:rsid w:val="00C3240F"/>
    <w:rsid w:val="00C35AD3"/>
    <w:rsid w:val="00C40CC0"/>
    <w:rsid w:val="00C536C0"/>
    <w:rsid w:val="00C7305D"/>
    <w:rsid w:val="00C85906"/>
    <w:rsid w:val="00CA4119"/>
    <w:rsid w:val="00D1139A"/>
    <w:rsid w:val="00D231A8"/>
    <w:rsid w:val="00D244CB"/>
    <w:rsid w:val="00D52BE1"/>
    <w:rsid w:val="00D64902"/>
    <w:rsid w:val="00D942EF"/>
    <w:rsid w:val="00DC609E"/>
    <w:rsid w:val="00DD721C"/>
    <w:rsid w:val="00DE6AEB"/>
    <w:rsid w:val="00E17C53"/>
    <w:rsid w:val="00E30E58"/>
    <w:rsid w:val="00E516E3"/>
    <w:rsid w:val="00E733FB"/>
    <w:rsid w:val="00EB25ED"/>
    <w:rsid w:val="00ED3600"/>
    <w:rsid w:val="00ED6779"/>
    <w:rsid w:val="00EE0E57"/>
    <w:rsid w:val="00EF1270"/>
    <w:rsid w:val="00F04FA7"/>
    <w:rsid w:val="00F27737"/>
    <w:rsid w:val="00F33315"/>
    <w:rsid w:val="00F508B7"/>
    <w:rsid w:val="00F61745"/>
    <w:rsid w:val="00F665BA"/>
    <w:rsid w:val="00F86D23"/>
    <w:rsid w:val="00F949B8"/>
    <w:rsid w:val="00FA7159"/>
    <w:rsid w:val="00FA7D6E"/>
    <w:rsid w:val="00FB1277"/>
    <w:rsid w:val="00FF16BE"/>
    <w:rsid w:val="00FF24FB"/>
    <w:rsid w:val="00FF4D5A"/>
    <w:rsid w:val="02773E9A"/>
    <w:rsid w:val="034D6480"/>
    <w:rsid w:val="18634F2D"/>
    <w:rsid w:val="1FC75602"/>
    <w:rsid w:val="2ADE9371"/>
    <w:rsid w:val="3A3301DF"/>
    <w:rsid w:val="3ECB47D7"/>
    <w:rsid w:val="4B671BC7"/>
    <w:rsid w:val="4DEA0921"/>
    <w:rsid w:val="64062032"/>
    <w:rsid w:val="667E26EA"/>
    <w:rsid w:val="677F1F12"/>
    <w:rsid w:val="6FF74C7A"/>
    <w:rsid w:val="72DB0BDE"/>
    <w:rsid w:val="7ADC37DD"/>
    <w:rsid w:val="7BFF7F87"/>
    <w:rsid w:val="7EEF20F4"/>
    <w:rsid w:val="7F5F3CBC"/>
    <w:rsid w:val="7FE9B98C"/>
    <w:rsid w:val="7FEB61FC"/>
    <w:rsid w:val="D8FF364E"/>
    <w:rsid w:val="F32E5334"/>
    <w:rsid w:val="FFFF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0"/>
    <w:semiHidden/>
    <w:unhideWhenUsed/>
    <w:uiPriority w:val="99"/>
    <w:rPr>
      <w:sz w:val="18"/>
      <w:szCs w:val="18"/>
    </w:r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title1"/>
    <w:qFormat/>
    <w:uiPriority w:val="0"/>
    <w:rPr>
      <w:b/>
      <w:bCs/>
      <w:color w:val="999900"/>
      <w:sz w:val="24"/>
      <w:szCs w:val="24"/>
    </w:rPr>
  </w:style>
  <w:style w:type="paragraph" w:customStyle="1" w:styleId="9">
    <w:name w:val="修订1"/>
    <w:hidden/>
    <w:semiHidden/>
    <w:qFormat/>
    <w:uiPriority w:val="99"/>
    <w:rPr>
      <w:rFonts w:ascii="Times New Roman" w:hAnsi="Times New Roman" w:eastAsia="宋体" w:cs="Times New Roman"/>
      <w:kern w:val="2"/>
      <w:sz w:val="21"/>
      <w:lang w:val="en-US" w:eastAsia="zh-CN" w:bidi="ar-SA"/>
    </w:rPr>
  </w:style>
  <w:style w:type="character" w:customStyle="1" w:styleId="10">
    <w:name w:val="批注框文本 Char"/>
    <w:basedOn w:val="7"/>
    <w:link w:val="3"/>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2034</Words>
  <Characters>3024</Characters>
  <Lines>23</Lines>
  <Paragraphs>6</Paragraphs>
  <TotalTime>120</TotalTime>
  <ScaleCrop>false</ScaleCrop>
  <LinksUpToDate>false</LinksUpToDate>
  <CharactersWithSpaces>3230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2022-12-11T01:50:00Z</dcterms:created>
  <dc:creator>唐欢</dc:creator>
  <cp:lastModifiedBy>xyt</cp:lastModifiedBy>
  <dcterms:modified xsi:type="dcterms:W3CDTF">2022-12-14T00:37:09Z</dcterms:modified>
  <dc:title>附件1</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9B20625A5FB047168F691B43A05DD432</vt:lpwstr>
  </property>
</Properties>
</file>