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0" w:lineRule="exact"/>
        <w:jc w:val="center"/>
        <w:rPr>
          <w:rFonts w:ascii="宋体" w:hAnsi="宋体"/>
          <w:color w:val="000000"/>
          <w:sz w:val="36"/>
          <w:szCs w:val="36"/>
        </w:rPr>
      </w:pPr>
      <w:bookmarkStart w:id="0" w:name="_Toc530473016"/>
    </w:p>
    <w:bookmarkEnd w:id="0"/>
    <w:p>
      <w:pPr>
        <w:spacing w:line="740" w:lineRule="exact"/>
        <w:jc w:val="center"/>
        <w:outlineLvl w:val="2"/>
        <w:rPr>
          <w:rFonts w:ascii="黑体" w:hAnsi="黑体" w:eastAsia="黑体" w:cs="黑体"/>
          <w:color w:val="000000"/>
          <w:sz w:val="32"/>
          <w:szCs w:val="32"/>
        </w:rPr>
      </w:pPr>
      <w:bookmarkStart w:id="1" w:name="_Toc1099067205"/>
      <w:bookmarkStart w:id="2" w:name="_Toc1827832502"/>
      <w:bookmarkStart w:id="3" w:name="_Toc2131911538"/>
      <w:bookmarkStart w:id="4" w:name="_Toc1423068732"/>
      <w:bookmarkStart w:id="5" w:name="_Toc1550903188"/>
      <w:bookmarkStart w:id="6" w:name="_Toc357348418"/>
      <w:bookmarkStart w:id="7" w:name="_Toc175603519"/>
      <w:bookmarkStart w:id="8" w:name="_Toc2124023149"/>
      <w:r>
        <w:rPr>
          <w:rFonts w:hint="eastAsia" w:ascii="黑体" w:hAnsi="黑体" w:eastAsia="黑体" w:cs="黑体"/>
          <w:color w:val="000000"/>
          <w:sz w:val="32"/>
          <w:szCs w:val="32"/>
        </w:rPr>
        <w:t>2023年度海南省科学技术奖提名公示内容</w:t>
      </w:r>
      <w:bookmarkEnd w:id="1"/>
      <w:bookmarkEnd w:id="2"/>
      <w:bookmarkEnd w:id="3"/>
      <w:bookmarkEnd w:id="4"/>
      <w:bookmarkEnd w:id="5"/>
      <w:bookmarkEnd w:id="6"/>
      <w:bookmarkEnd w:id="7"/>
      <w:bookmarkEnd w:id="8"/>
      <w:r>
        <w:rPr>
          <w:rFonts w:hint="eastAsia" w:ascii="黑体" w:hAnsi="黑体" w:eastAsia="黑体" w:cs="黑体"/>
          <w:sz w:val="32"/>
          <w:szCs w:val="32"/>
        </w:rPr>
        <w:t>（参考模板）</w:t>
      </w:r>
    </w:p>
    <w:p>
      <w:pPr>
        <w:spacing w:line="100" w:lineRule="exact"/>
        <w:jc w:val="center"/>
        <w:rPr>
          <w:rFonts w:ascii="仿宋_GB2312" w:hAnsi="仿宋_GB2312" w:eastAsia="仿宋_GB2312" w:cs="仿宋_GB2312"/>
          <w:color w:val="000000"/>
          <w:sz w:val="32"/>
          <w:szCs w:val="32"/>
        </w:rPr>
      </w:pPr>
    </w:p>
    <w:p>
      <w:pPr>
        <w:spacing w:line="440" w:lineRule="exact"/>
        <w:jc w:val="center"/>
        <w:rPr>
          <w:rFonts w:eastAsia="仿宋_GB2312"/>
          <w:szCs w:val="24"/>
        </w:rPr>
      </w:pPr>
      <w:r>
        <w:rPr>
          <w:rFonts w:hint="eastAsia" w:eastAsia="仿宋_GB2312"/>
          <w:szCs w:val="24"/>
        </w:rPr>
        <w:t>（适用于项目主要完成单位、主要完成人所在单位）</w:t>
      </w:r>
    </w:p>
    <w:p>
      <w:pPr>
        <w:spacing w:line="440" w:lineRule="exact"/>
        <w:rPr>
          <w:rFonts w:eastAsia="仿宋_GB2312"/>
          <w:szCs w:val="24"/>
        </w:rPr>
      </w:pPr>
    </w:p>
    <w:tbl>
      <w:tblPr>
        <w:tblStyle w:val="5"/>
        <w:tblW w:w="9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9"/>
        <w:gridCol w:w="70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5" w:hRule="atLeast"/>
          <w:jc w:val="center"/>
        </w:trPr>
        <w:tc>
          <w:tcPr>
            <w:tcW w:w="2269" w:type="dxa"/>
            <w:vAlign w:val="center"/>
          </w:tcPr>
          <w:p>
            <w:pPr>
              <w:jc w:val="center"/>
              <w:rPr>
                <w:rStyle w:val="7"/>
                <w:rFonts w:eastAsia="仿宋_GB2312"/>
                <w:color w:val="auto"/>
              </w:rPr>
            </w:pPr>
            <w:bookmarkStart w:id="11" w:name="_GoBack"/>
            <w:bookmarkEnd w:id="11"/>
            <w:r>
              <w:rPr>
                <w:rStyle w:val="7"/>
                <w:rFonts w:hint="eastAsia" w:eastAsia="仿宋_GB2312"/>
                <w:color w:val="auto"/>
              </w:rPr>
              <w:t>项目</w:t>
            </w:r>
            <w:r>
              <w:rPr>
                <w:rStyle w:val="7"/>
                <w:rFonts w:eastAsia="仿宋_GB2312"/>
                <w:color w:val="auto"/>
              </w:rPr>
              <w:t>名称</w:t>
            </w:r>
          </w:p>
        </w:tc>
        <w:tc>
          <w:tcPr>
            <w:tcW w:w="7051" w:type="dxa"/>
            <w:vAlign w:val="center"/>
          </w:tcPr>
          <w:p>
            <w:pPr>
              <w:pStyle w:val="2"/>
              <w:spacing w:after="0"/>
              <w:jc w:val="center"/>
              <w:rPr>
                <w:rFonts w:asciiTheme="minorEastAsia" w:hAnsiTheme="minorEastAsia" w:eastAsiaTheme="minorEastAsia"/>
                <w:b/>
                <w:bCs/>
                <w:sz w:val="24"/>
                <w:szCs w:val="24"/>
              </w:rPr>
            </w:pPr>
            <w:r>
              <w:rPr>
                <w:rStyle w:val="7"/>
                <w:rFonts w:asciiTheme="minorEastAsia" w:hAnsiTheme="minorEastAsia" w:eastAsiaTheme="minorEastAsia"/>
                <w:b w:val="0"/>
                <w:bCs w:val="0"/>
                <w:color w:val="auto"/>
              </w:rPr>
              <w:t>面向复杂生物医学数据处理的数学建模与智能计算研究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8" w:hRule="atLeast"/>
          <w:jc w:val="center"/>
        </w:trPr>
        <w:tc>
          <w:tcPr>
            <w:tcW w:w="2269" w:type="dxa"/>
            <w:vAlign w:val="center"/>
          </w:tcPr>
          <w:p>
            <w:pPr>
              <w:jc w:val="center"/>
              <w:rPr>
                <w:rStyle w:val="7"/>
                <w:rFonts w:eastAsia="仿宋_GB2312"/>
                <w:color w:val="auto"/>
              </w:rPr>
            </w:pPr>
            <w:r>
              <w:rPr>
                <w:rStyle w:val="7"/>
                <w:rFonts w:eastAsia="仿宋_GB2312"/>
                <w:color w:val="auto"/>
              </w:rPr>
              <w:t>提名</w:t>
            </w:r>
            <w:r>
              <w:rPr>
                <w:rStyle w:val="7"/>
                <w:rFonts w:hint="eastAsia" w:eastAsia="仿宋_GB2312"/>
                <w:color w:val="auto"/>
              </w:rPr>
              <w:t>奖项/</w:t>
            </w:r>
            <w:r>
              <w:rPr>
                <w:rStyle w:val="7"/>
                <w:rFonts w:eastAsia="仿宋_GB2312"/>
                <w:color w:val="auto"/>
              </w:rPr>
              <w:t>等级</w:t>
            </w:r>
          </w:p>
        </w:tc>
        <w:tc>
          <w:tcPr>
            <w:tcW w:w="7051" w:type="dxa"/>
            <w:vAlign w:val="center"/>
          </w:tcPr>
          <w:p>
            <w:pPr>
              <w:jc w:val="center"/>
              <w:rPr>
                <w:rStyle w:val="7"/>
                <w:rFonts w:asciiTheme="minorEastAsia" w:hAnsiTheme="minorEastAsia" w:eastAsiaTheme="minorEastAsia"/>
                <w:b w:val="0"/>
                <w:color w:val="auto"/>
              </w:rPr>
            </w:pPr>
            <w:r>
              <w:rPr>
                <w:rStyle w:val="7"/>
                <w:rFonts w:hint="eastAsia" w:asciiTheme="minorEastAsia" w:hAnsiTheme="minorEastAsia" w:eastAsiaTheme="minorEastAsia"/>
                <w:b w:val="0"/>
                <w:color w:val="auto"/>
              </w:rPr>
              <w:t>海南省自然科学奖二等奖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2269" w:type="dxa"/>
            <w:vAlign w:val="center"/>
          </w:tcPr>
          <w:p>
            <w:pPr>
              <w:jc w:val="center"/>
              <w:rPr>
                <w:rFonts w:eastAsia="仿宋_GB2312"/>
                <w:b/>
                <w:bCs/>
                <w:sz w:val="24"/>
                <w:szCs w:val="24"/>
                <w:lang w:val="en"/>
              </w:rPr>
            </w:pPr>
            <w:r>
              <w:rPr>
                <w:rStyle w:val="7"/>
                <w:rFonts w:eastAsia="仿宋_GB2312"/>
                <w:color w:val="auto"/>
              </w:rPr>
              <w:t>提名单位</w:t>
            </w:r>
          </w:p>
        </w:tc>
        <w:tc>
          <w:tcPr>
            <w:tcW w:w="7051" w:type="dxa"/>
            <w:vAlign w:val="center"/>
          </w:tcPr>
          <w:p>
            <w:pPr>
              <w:contextualSpacing/>
              <w:jc w:val="center"/>
              <w:rPr>
                <w:rFonts w:asciiTheme="minorEastAsia" w:hAnsiTheme="minorEastAsia" w:eastAsiaTheme="minorEastAsia"/>
                <w:bCs/>
                <w:sz w:val="24"/>
                <w:szCs w:val="24"/>
              </w:rPr>
            </w:pPr>
            <w:r>
              <w:rPr>
                <w:rFonts w:hint="eastAsia" w:asciiTheme="minorEastAsia" w:hAnsiTheme="minorEastAsia" w:eastAsiaTheme="minorEastAsia"/>
                <w:sz w:val="24"/>
                <w:szCs w:val="24"/>
                <w:lang w:val="en"/>
              </w:rPr>
              <w:t>海南省科学技术协会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37" w:hRule="atLeast"/>
          <w:jc w:val="center"/>
        </w:trPr>
        <w:tc>
          <w:tcPr>
            <w:tcW w:w="2269" w:type="dxa"/>
            <w:vAlign w:val="center"/>
          </w:tcPr>
          <w:p>
            <w:pPr>
              <w:jc w:val="center"/>
              <w:rPr>
                <w:rFonts w:eastAsia="仿宋_GB2312"/>
                <w:b/>
                <w:bCs/>
                <w:sz w:val="24"/>
                <w:szCs w:val="24"/>
              </w:rPr>
            </w:pPr>
            <w:r>
              <w:rPr>
                <w:rStyle w:val="7"/>
                <w:rFonts w:eastAsia="仿宋_GB2312"/>
                <w:color w:val="auto"/>
              </w:rPr>
              <w:t>提名意见</w:t>
            </w:r>
          </w:p>
        </w:tc>
        <w:tc>
          <w:tcPr>
            <w:tcW w:w="7051" w:type="dxa"/>
            <w:vAlign w:val="center"/>
          </w:tcPr>
          <w:p>
            <w:pPr>
              <w:ind w:firstLine="480" w:firstLineChars="200"/>
              <w:rPr>
                <w:rFonts w:cs="仿宋_GB2312" w:asciiTheme="minorEastAsia" w:hAnsiTheme="minorEastAsia" w:eastAsiaTheme="minorEastAsia"/>
                <w:color w:val="000000"/>
                <w:sz w:val="24"/>
                <w:szCs w:val="24"/>
              </w:rPr>
            </w:pPr>
            <w:r>
              <w:rPr>
                <w:sz w:val="24"/>
                <w:szCs w:val="24"/>
              </w:rPr>
              <w:t>自人类基因组计划启动以来，人类获得了海量的生物医学大数据。</w:t>
            </w:r>
            <w:r>
              <w:rPr>
                <w:rFonts w:hint="eastAsia" w:cs="仿宋_GB2312" w:asciiTheme="minorEastAsia" w:hAnsiTheme="minorEastAsia" w:eastAsiaTheme="minorEastAsia"/>
                <w:color w:val="000000"/>
                <w:sz w:val="24"/>
                <w:szCs w:val="24"/>
              </w:rPr>
              <w:t>这些</w:t>
            </w:r>
            <w:r>
              <w:rPr>
                <w:rFonts w:cs="仿宋_GB2312" w:asciiTheme="minorEastAsia" w:hAnsiTheme="minorEastAsia" w:eastAsiaTheme="minorEastAsia"/>
                <w:color w:val="000000"/>
                <w:sz w:val="24"/>
                <w:szCs w:val="24"/>
              </w:rPr>
              <w:t>数据</w:t>
            </w:r>
            <w:r>
              <w:rPr>
                <w:sz w:val="24"/>
                <w:szCs w:val="24"/>
              </w:rPr>
              <w:t>蕴含了极其丰富的信息和知识，</w:t>
            </w:r>
            <w:r>
              <w:rPr>
                <w:rFonts w:hint="eastAsia"/>
                <w:sz w:val="24"/>
                <w:szCs w:val="24"/>
              </w:rPr>
              <w:t>也</w:t>
            </w:r>
            <w:r>
              <w:rPr>
                <w:rFonts w:cs="仿宋_GB2312" w:asciiTheme="minorEastAsia" w:hAnsiTheme="minorEastAsia" w:eastAsiaTheme="minorEastAsia"/>
                <w:color w:val="000000"/>
                <w:sz w:val="24"/>
                <w:szCs w:val="24"/>
              </w:rPr>
              <w:t>是关乎国家持续发展、国人生存健康的重要战略资源。</w:t>
            </w:r>
            <w:r>
              <w:rPr>
                <w:rFonts w:hint="eastAsia"/>
                <w:sz w:val="24"/>
                <w:szCs w:val="24"/>
              </w:rPr>
              <w:t>面对复杂的生物医学数据，如何能够实现高效、准确地定量计算分析，获取有价值的信息是目前计算生物学领域亟需解决的关键问题。</w:t>
            </w:r>
            <w:r>
              <w:rPr>
                <w:rFonts w:hint="eastAsia" w:cs="仿宋_GB2312" w:asciiTheme="minorEastAsia" w:hAnsiTheme="minorEastAsia" w:eastAsiaTheme="minorEastAsia"/>
                <w:color w:val="000000"/>
                <w:sz w:val="24"/>
                <w:szCs w:val="24"/>
              </w:rPr>
              <w:t>该项目通过数学、计算机科学和生命科学的深度融合，以</w:t>
            </w:r>
            <w:r>
              <w:rPr>
                <w:rFonts w:cs="仿宋_GB2312" w:asciiTheme="minorEastAsia" w:hAnsiTheme="minorEastAsia" w:eastAsiaTheme="minorEastAsia"/>
                <w:color w:val="000000"/>
                <w:sz w:val="24"/>
                <w:szCs w:val="24"/>
              </w:rPr>
              <w:t>生物</w:t>
            </w:r>
            <w:r>
              <w:rPr>
                <w:rFonts w:hint="eastAsia" w:cs="仿宋_GB2312" w:asciiTheme="minorEastAsia" w:hAnsiTheme="minorEastAsia" w:eastAsiaTheme="minorEastAsia"/>
                <w:color w:val="000000"/>
                <w:sz w:val="24"/>
                <w:szCs w:val="24"/>
              </w:rPr>
              <w:t>医学</w:t>
            </w:r>
            <w:r>
              <w:rPr>
                <w:rFonts w:cs="仿宋_GB2312" w:asciiTheme="minorEastAsia" w:hAnsiTheme="minorEastAsia" w:eastAsiaTheme="minorEastAsia"/>
                <w:color w:val="000000"/>
                <w:sz w:val="24"/>
                <w:szCs w:val="24"/>
              </w:rPr>
              <w:t>大数据的定量</w:t>
            </w:r>
            <w:r>
              <w:rPr>
                <w:rFonts w:hint="eastAsia" w:cs="仿宋_GB2312" w:asciiTheme="minorEastAsia" w:hAnsiTheme="minorEastAsia" w:eastAsiaTheme="minorEastAsia"/>
                <w:color w:val="000000"/>
                <w:sz w:val="24"/>
                <w:szCs w:val="24"/>
              </w:rPr>
              <w:t>刻画</w:t>
            </w:r>
            <w:r>
              <w:rPr>
                <w:rFonts w:cs="仿宋_GB2312" w:asciiTheme="minorEastAsia" w:hAnsiTheme="minorEastAsia" w:eastAsiaTheme="minorEastAsia"/>
                <w:color w:val="000000"/>
                <w:sz w:val="24"/>
                <w:szCs w:val="24"/>
              </w:rPr>
              <w:t>与</w:t>
            </w:r>
            <w:r>
              <w:rPr>
                <w:rFonts w:hint="eastAsia" w:cs="仿宋_GB2312" w:asciiTheme="minorEastAsia" w:hAnsiTheme="minorEastAsia" w:eastAsiaTheme="minorEastAsia"/>
                <w:color w:val="000000"/>
                <w:sz w:val="24"/>
                <w:szCs w:val="24"/>
              </w:rPr>
              <w:t>智能</w:t>
            </w:r>
            <w:r>
              <w:rPr>
                <w:rFonts w:cs="仿宋_GB2312" w:asciiTheme="minorEastAsia" w:hAnsiTheme="minorEastAsia" w:eastAsiaTheme="minorEastAsia"/>
                <w:color w:val="000000"/>
                <w:sz w:val="24"/>
                <w:szCs w:val="24"/>
              </w:rPr>
              <w:t>计算</w:t>
            </w:r>
            <w:r>
              <w:rPr>
                <w:rFonts w:hint="eastAsia" w:cs="仿宋_GB2312" w:asciiTheme="minorEastAsia" w:hAnsiTheme="minorEastAsia" w:eastAsiaTheme="minorEastAsia"/>
                <w:color w:val="000000"/>
                <w:sz w:val="24"/>
                <w:szCs w:val="24"/>
              </w:rPr>
              <w:t>建模</w:t>
            </w:r>
            <w:r>
              <w:rPr>
                <w:rFonts w:cs="仿宋_GB2312" w:asciiTheme="minorEastAsia" w:hAnsiTheme="minorEastAsia" w:eastAsiaTheme="minorEastAsia"/>
                <w:color w:val="000000"/>
                <w:sz w:val="24"/>
                <w:szCs w:val="24"/>
              </w:rPr>
              <w:t>为目标，展开应用基础性研究，取得</w:t>
            </w:r>
            <w:r>
              <w:rPr>
                <w:rFonts w:hint="eastAsia" w:cs="仿宋_GB2312" w:asciiTheme="minorEastAsia" w:hAnsiTheme="minorEastAsia" w:eastAsiaTheme="minorEastAsia"/>
                <w:color w:val="000000"/>
                <w:sz w:val="24"/>
                <w:szCs w:val="24"/>
              </w:rPr>
              <w:t>了一系列具有创新性</w:t>
            </w:r>
            <w:r>
              <w:rPr>
                <w:rFonts w:cs="仿宋_GB2312" w:asciiTheme="minorEastAsia" w:hAnsiTheme="minorEastAsia" w:eastAsiaTheme="minorEastAsia"/>
                <w:color w:val="000000"/>
                <w:sz w:val="24"/>
                <w:szCs w:val="24"/>
              </w:rPr>
              <w:t>的研究成果，</w:t>
            </w:r>
            <w:r>
              <w:rPr>
                <w:rFonts w:hint="eastAsia" w:cs="仿宋_GB2312" w:asciiTheme="minorEastAsia" w:hAnsiTheme="minorEastAsia" w:eastAsiaTheme="minorEastAsia"/>
                <w:color w:val="000000"/>
                <w:sz w:val="24"/>
                <w:szCs w:val="24"/>
              </w:rPr>
              <w:t>项目受到多项国家自然基金以及海南省自然科学基金的资助，共发表SCI收录论文</w:t>
            </w:r>
            <w:r>
              <w:rPr>
                <w:rFonts w:cs="仿宋_GB2312" w:asciiTheme="minorEastAsia" w:hAnsiTheme="minorEastAsia" w:eastAsiaTheme="minorEastAsia"/>
                <w:color w:val="000000"/>
                <w:sz w:val="24"/>
                <w:szCs w:val="24"/>
              </w:rPr>
              <w:t>51</w:t>
            </w:r>
            <w:r>
              <w:rPr>
                <w:rFonts w:hint="eastAsia" w:cs="仿宋_GB2312" w:asciiTheme="minorEastAsia" w:hAnsiTheme="minorEastAsia" w:eastAsiaTheme="minorEastAsia"/>
                <w:color w:val="000000"/>
                <w:sz w:val="24"/>
                <w:szCs w:val="24"/>
              </w:rPr>
              <w:t>篇，其中</w:t>
            </w:r>
            <w:r>
              <w:rPr>
                <w:rFonts w:cs="仿宋_GB2312" w:asciiTheme="minorEastAsia" w:hAnsiTheme="minorEastAsia" w:eastAsiaTheme="minorEastAsia"/>
                <w:color w:val="000000"/>
                <w:sz w:val="24"/>
                <w:szCs w:val="24"/>
              </w:rPr>
              <w:t>8</w:t>
            </w:r>
            <w:r>
              <w:rPr>
                <w:rFonts w:hint="eastAsia" w:cs="仿宋_GB2312" w:asciiTheme="minorEastAsia" w:hAnsiTheme="minorEastAsia" w:eastAsiaTheme="minorEastAsia"/>
                <w:color w:val="000000"/>
                <w:sz w:val="24"/>
                <w:szCs w:val="24"/>
              </w:rPr>
              <w:t>篇代表性论文SCI他引</w:t>
            </w:r>
            <w:r>
              <w:rPr>
                <w:rFonts w:cs="仿宋_GB2312" w:asciiTheme="minorEastAsia" w:hAnsiTheme="minorEastAsia" w:eastAsiaTheme="minorEastAsia"/>
                <w:color w:val="000000"/>
                <w:sz w:val="24"/>
                <w:szCs w:val="24"/>
              </w:rPr>
              <w:t>163</w:t>
            </w:r>
            <w:r>
              <w:rPr>
                <w:rFonts w:hint="eastAsia" w:cs="仿宋_GB2312" w:asciiTheme="minorEastAsia" w:hAnsiTheme="minorEastAsia" w:eastAsiaTheme="minorEastAsia"/>
                <w:color w:val="000000"/>
                <w:sz w:val="24"/>
                <w:szCs w:val="24"/>
              </w:rPr>
              <w:t>次，</w:t>
            </w:r>
            <w:r>
              <w:rPr>
                <w:rFonts w:cs="仿宋_GB2312" w:asciiTheme="minorEastAsia" w:hAnsiTheme="minorEastAsia" w:eastAsiaTheme="minorEastAsia"/>
                <w:color w:val="000000"/>
                <w:sz w:val="24"/>
                <w:szCs w:val="24"/>
              </w:rPr>
              <w:t>受到</w:t>
            </w:r>
            <w:r>
              <w:rPr>
                <w:rFonts w:hint="eastAsia" w:cs="仿宋_GB2312" w:asciiTheme="minorEastAsia" w:hAnsiTheme="minorEastAsia" w:eastAsiaTheme="minorEastAsia"/>
                <w:color w:val="000000"/>
                <w:sz w:val="24"/>
                <w:szCs w:val="24"/>
              </w:rPr>
              <w:t>国内外学术界</w:t>
            </w:r>
            <w:r>
              <w:rPr>
                <w:rFonts w:cs="仿宋_GB2312" w:asciiTheme="minorEastAsia" w:hAnsiTheme="minorEastAsia" w:eastAsiaTheme="minorEastAsia"/>
                <w:color w:val="000000"/>
                <w:sz w:val="24"/>
                <w:szCs w:val="24"/>
              </w:rPr>
              <w:t>的</w:t>
            </w:r>
            <w:r>
              <w:rPr>
                <w:rFonts w:hint="eastAsia" w:cs="仿宋_GB2312" w:asciiTheme="minorEastAsia" w:hAnsiTheme="minorEastAsia" w:eastAsiaTheme="minorEastAsia"/>
                <w:color w:val="000000"/>
                <w:sz w:val="24"/>
                <w:szCs w:val="24"/>
              </w:rPr>
              <w:t>广泛</w:t>
            </w:r>
            <w:r>
              <w:rPr>
                <w:rFonts w:cs="仿宋_GB2312" w:asciiTheme="minorEastAsia" w:hAnsiTheme="minorEastAsia" w:eastAsiaTheme="minorEastAsia"/>
                <w:color w:val="000000"/>
                <w:sz w:val="24"/>
                <w:szCs w:val="24"/>
              </w:rPr>
              <w:t>关注和肯定</w:t>
            </w:r>
            <w:r>
              <w:rPr>
                <w:rFonts w:hint="eastAsia" w:cs="仿宋_GB2312" w:asciiTheme="minorEastAsia" w:hAnsiTheme="minorEastAsia" w:eastAsiaTheme="minorEastAsia"/>
                <w:color w:val="000000"/>
                <w:sz w:val="24"/>
                <w:szCs w:val="24"/>
              </w:rPr>
              <w:t>。</w:t>
            </w:r>
          </w:p>
          <w:p>
            <w:pPr>
              <w:ind w:firstLine="480" w:firstLineChars="200"/>
              <w:contextualSpacing/>
            </w:pPr>
            <w:r>
              <w:rPr>
                <w:rFonts w:hint="eastAsia" w:cs="仿宋_GB2312" w:asciiTheme="minorEastAsia" w:hAnsiTheme="minorEastAsia" w:eastAsiaTheme="minorEastAsia"/>
                <w:color w:val="000000"/>
                <w:sz w:val="24"/>
                <w:szCs w:val="24"/>
              </w:rPr>
              <w:t>提名该项目为海南省自然科学</w:t>
            </w:r>
            <w:r>
              <w:rPr>
                <w:rFonts w:hint="eastAsia" w:asciiTheme="minorEastAsia" w:hAnsiTheme="minorEastAsia" w:eastAsiaTheme="minorEastAsia"/>
                <w:sz w:val="24"/>
                <w:szCs w:val="24"/>
              </w:rPr>
              <w:t>奖</w:t>
            </w:r>
            <w:r>
              <w:rPr>
                <w:rFonts w:hint="eastAsia" w:cs="仿宋_GB2312" w:asciiTheme="minorEastAsia" w:hAnsiTheme="minorEastAsia" w:eastAsiaTheme="minorEastAsia"/>
                <w:color w:val="000000"/>
                <w:sz w:val="24"/>
                <w:szCs w:val="24"/>
              </w:rPr>
              <w:t>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2269" w:type="dxa"/>
            <w:tcBorders>
              <w:right w:val="single" w:color="auto" w:sz="4" w:space="0"/>
            </w:tcBorders>
            <w:vAlign w:val="center"/>
          </w:tcPr>
          <w:p>
            <w:pPr>
              <w:spacing w:line="440" w:lineRule="exact"/>
              <w:jc w:val="center"/>
              <w:rPr>
                <w:rFonts w:eastAsia="仿宋_GB2312"/>
                <w:b/>
                <w:bCs/>
                <w:sz w:val="24"/>
                <w:szCs w:val="24"/>
              </w:rPr>
            </w:pPr>
            <w:bookmarkStart w:id="9" w:name="_Hlk155254816"/>
            <w:r>
              <w:rPr>
                <w:rFonts w:hint="eastAsia" w:eastAsia="仿宋_GB2312"/>
                <w:b/>
                <w:bCs/>
                <w:sz w:val="24"/>
                <w:szCs w:val="24"/>
              </w:rPr>
              <w:t>项目简介</w:t>
            </w:r>
          </w:p>
        </w:tc>
        <w:tc>
          <w:tcPr>
            <w:tcW w:w="7051" w:type="dxa"/>
            <w:tcBorders>
              <w:left w:val="single" w:color="auto" w:sz="4" w:space="0"/>
            </w:tcBorders>
            <w:vAlign w:val="center"/>
          </w:tcPr>
          <w:p>
            <w:pPr>
              <w:adjustRightInd w:val="0"/>
              <w:snapToGrid w:val="0"/>
              <w:ind w:firstLine="480" w:firstLineChars="200"/>
              <w:rPr>
                <w:rFonts w:ascii="宋体" w:hAnsi="宋体"/>
                <w:sz w:val="24"/>
                <w:szCs w:val="24"/>
              </w:rPr>
            </w:pPr>
            <w:r>
              <w:rPr>
                <w:rFonts w:ascii="宋体" w:hAnsi="宋体"/>
                <w:sz w:val="24"/>
                <w:szCs w:val="24"/>
              </w:rPr>
              <w:t>随着高通量测序技术的快速发展以及医疗信息化水平的不断提高，生物医学领域产生了大量数据，</w:t>
            </w:r>
            <w:r>
              <w:rPr>
                <w:rFonts w:hint="eastAsia" w:ascii="宋体" w:hAnsi="宋体"/>
                <w:sz w:val="24"/>
                <w:szCs w:val="24"/>
              </w:rPr>
              <w:t>其</w:t>
            </w:r>
            <w:r>
              <w:rPr>
                <w:rFonts w:ascii="宋体" w:hAnsi="宋体"/>
                <w:sz w:val="24"/>
                <w:szCs w:val="24"/>
              </w:rPr>
              <w:t>具有明显的</w:t>
            </w:r>
            <w:r>
              <w:rPr>
                <w:rFonts w:hint="eastAsia" w:ascii="宋体" w:hAnsi="宋体"/>
                <w:sz w:val="24"/>
                <w:szCs w:val="24"/>
              </w:rPr>
              <w:t>高</w:t>
            </w:r>
            <w:r>
              <w:rPr>
                <w:rFonts w:ascii="宋体" w:hAnsi="宋体"/>
                <w:sz w:val="24"/>
                <w:szCs w:val="24"/>
              </w:rPr>
              <w:t>维、海量以及多源异构</w:t>
            </w:r>
            <w:r>
              <w:rPr>
                <w:rFonts w:hint="eastAsia" w:ascii="宋体" w:hAnsi="宋体"/>
                <w:sz w:val="24"/>
                <w:szCs w:val="24"/>
              </w:rPr>
              <w:t>等</w:t>
            </w:r>
            <w:r>
              <w:rPr>
                <w:rFonts w:ascii="宋体" w:hAnsi="宋体"/>
                <w:sz w:val="24"/>
                <w:szCs w:val="24"/>
              </w:rPr>
              <w:t>特点</w:t>
            </w:r>
            <w:r>
              <w:rPr>
                <w:rFonts w:hint="eastAsia" w:ascii="宋体" w:hAnsi="宋体"/>
                <w:sz w:val="24"/>
                <w:szCs w:val="24"/>
              </w:rPr>
              <w:t>。通过数学建模、</w:t>
            </w:r>
            <w:r>
              <w:rPr>
                <w:rFonts w:ascii="宋体" w:hAnsi="宋体"/>
                <w:sz w:val="24"/>
                <w:szCs w:val="24"/>
              </w:rPr>
              <w:t>机器学习等人工智能方法从</w:t>
            </w:r>
            <w:r>
              <w:rPr>
                <w:rFonts w:hint="eastAsia" w:ascii="宋体" w:hAnsi="宋体"/>
                <w:sz w:val="24"/>
                <w:szCs w:val="24"/>
              </w:rPr>
              <w:t>这些复杂的</w:t>
            </w:r>
            <w:r>
              <w:rPr>
                <w:rFonts w:ascii="宋体" w:hAnsi="宋体"/>
                <w:sz w:val="24"/>
                <w:szCs w:val="24"/>
              </w:rPr>
              <w:t>生物</w:t>
            </w:r>
            <w:r>
              <w:rPr>
                <w:rFonts w:hint="eastAsia" w:ascii="宋体" w:hAnsi="宋体"/>
                <w:sz w:val="24"/>
                <w:szCs w:val="24"/>
              </w:rPr>
              <w:t>医学</w:t>
            </w:r>
            <w:r>
              <w:rPr>
                <w:rFonts w:ascii="宋体" w:hAnsi="宋体"/>
                <w:sz w:val="24"/>
                <w:szCs w:val="24"/>
              </w:rPr>
              <w:t>数据中获取洞见，已成为当前国内外一个极具挑战性的</w:t>
            </w:r>
            <w:r>
              <w:rPr>
                <w:rFonts w:hint="eastAsia" w:ascii="宋体" w:hAnsi="宋体"/>
                <w:sz w:val="24"/>
                <w:szCs w:val="24"/>
              </w:rPr>
              <w:t>科学</w:t>
            </w:r>
            <w:r>
              <w:rPr>
                <w:rFonts w:ascii="宋体" w:hAnsi="宋体"/>
                <w:sz w:val="24"/>
                <w:szCs w:val="24"/>
              </w:rPr>
              <w:t>问题。</w:t>
            </w:r>
            <w:bookmarkStart w:id="10" w:name="_Hlk155109301"/>
            <w:r>
              <w:rPr>
                <w:rFonts w:hint="eastAsia" w:ascii="宋体" w:hAnsi="宋体"/>
                <w:sz w:val="24"/>
                <w:szCs w:val="24"/>
              </w:rPr>
              <w:t>本项目在国家和海南省自然科学基金的支持下，先后开展了蛋白质信息刻画的数学建模、蛋白质亚细胞定位预测、流感病毒血凝素蛋白的抗原性变异预测、甲状腺癌的多组学数据分析与药物预测等智能计算研究，主要科学发现点包括：</w:t>
            </w:r>
          </w:p>
          <w:p>
            <w:pPr>
              <w:autoSpaceDE w:val="0"/>
              <w:autoSpaceDN w:val="0"/>
              <w:adjustRightInd w:val="0"/>
              <w:snapToGrid w:val="0"/>
              <w:ind w:firstLine="480" w:firstLineChars="200"/>
              <w:rPr>
                <w:rFonts w:ascii="宋体" w:hAnsi="宋体"/>
                <w:sz w:val="24"/>
                <w:szCs w:val="24"/>
              </w:rPr>
            </w:pPr>
            <w:r>
              <w:rPr>
                <w:rFonts w:hint="eastAsia" w:ascii="宋体" w:hAnsi="宋体"/>
                <w:sz w:val="24"/>
                <w:szCs w:val="24"/>
              </w:rPr>
              <w:t>1、率先</w:t>
            </w:r>
            <w:r>
              <w:rPr>
                <w:rFonts w:ascii="宋体" w:hAnsi="宋体"/>
                <w:sz w:val="24"/>
                <w:szCs w:val="24"/>
              </w:rPr>
              <w:t>提出了</w:t>
            </w:r>
            <w:r>
              <w:rPr>
                <w:rFonts w:hint="eastAsia" w:ascii="宋体" w:hAnsi="宋体"/>
                <w:sz w:val="24"/>
                <w:szCs w:val="24"/>
              </w:rPr>
              <w:t>基于氨基酸循环次序和位置特征的蛋白质序列结构数据</w:t>
            </w:r>
            <w:r>
              <w:rPr>
                <w:rFonts w:ascii="宋体" w:hAnsi="宋体"/>
                <w:sz w:val="24"/>
                <w:szCs w:val="24"/>
              </w:rPr>
              <w:t>的定量</w:t>
            </w:r>
            <w:r>
              <w:rPr>
                <w:rFonts w:hint="eastAsia" w:ascii="宋体" w:hAnsi="宋体"/>
                <w:sz w:val="24"/>
                <w:szCs w:val="24"/>
              </w:rPr>
              <w:t>描述模型</w:t>
            </w:r>
            <w:r>
              <w:rPr>
                <w:rFonts w:ascii="宋体" w:hAnsi="宋体"/>
                <w:sz w:val="24"/>
                <w:szCs w:val="24"/>
              </w:rPr>
              <w:t>，发现位置与含量特征具有很强的互补性，并通过单调性优化算法明确了</w:t>
            </w:r>
            <w:r>
              <w:rPr>
                <w:rFonts w:hint="eastAsia" w:ascii="宋体" w:hAnsi="宋体"/>
                <w:sz w:val="24"/>
                <w:szCs w:val="24"/>
              </w:rPr>
              <w:t>特定间距</w:t>
            </w:r>
            <w:r>
              <w:rPr>
                <w:rFonts w:ascii="宋体" w:hAnsi="宋体"/>
                <w:sz w:val="24"/>
                <w:szCs w:val="24"/>
              </w:rPr>
              <w:t>的临近位置单元具有较强的结构类模式</w:t>
            </w:r>
            <w:r>
              <w:rPr>
                <w:rFonts w:hint="eastAsia" w:ascii="宋体" w:hAnsi="宋体"/>
                <w:sz w:val="24"/>
                <w:szCs w:val="24"/>
              </w:rPr>
              <w:t>，</w:t>
            </w:r>
            <w:r>
              <w:rPr>
                <w:rFonts w:ascii="宋体" w:hAnsi="宋体"/>
                <w:sz w:val="24"/>
                <w:szCs w:val="24"/>
              </w:rPr>
              <w:t>提高了数据中匹配与保守区域的</w:t>
            </w:r>
            <w:r>
              <w:rPr>
                <w:rFonts w:hint="eastAsia" w:ascii="宋体" w:hAnsi="宋体"/>
                <w:sz w:val="24"/>
                <w:szCs w:val="24"/>
              </w:rPr>
              <w:t>识别效率，为研究蛋白质互作和新药物发现提供了重要信息。</w:t>
            </w:r>
          </w:p>
          <w:p>
            <w:pPr>
              <w:autoSpaceDE w:val="0"/>
              <w:autoSpaceDN w:val="0"/>
              <w:adjustRightInd w:val="0"/>
              <w:snapToGrid w:val="0"/>
              <w:ind w:firstLine="480" w:firstLineChars="200"/>
              <w:rPr>
                <w:rFonts w:ascii="宋体" w:hAnsi="宋体"/>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基于氨基酸突变矩阵，实现氨基酸无交亚字母集的构建，结合L-Z复杂度方法，提取蛋白质序列保守及复杂度信息。</w:t>
            </w:r>
            <w:r>
              <w:rPr>
                <w:rFonts w:hint="eastAsia" w:ascii="宋体" w:hAnsi="宋体"/>
                <w:sz w:val="24"/>
                <w:szCs w:val="24"/>
              </w:rPr>
              <w:t>根据</w:t>
            </w:r>
            <w:r>
              <w:rPr>
                <w:rFonts w:ascii="宋体" w:hAnsi="宋体"/>
                <w:sz w:val="24"/>
                <w:szCs w:val="24"/>
              </w:rPr>
              <w:t>临近模式和远程模式对亚细胞定位</w:t>
            </w:r>
            <w:r>
              <w:rPr>
                <w:rFonts w:hint="eastAsia" w:ascii="宋体" w:hAnsi="宋体"/>
                <w:sz w:val="24"/>
                <w:szCs w:val="24"/>
              </w:rPr>
              <w:t>的</w:t>
            </w:r>
            <w:r>
              <w:rPr>
                <w:rFonts w:ascii="宋体" w:hAnsi="宋体"/>
                <w:sz w:val="24"/>
                <w:szCs w:val="24"/>
              </w:rPr>
              <w:t>不同影响，运用多元约化策略将它们有效结合，</w:t>
            </w:r>
            <w:r>
              <w:rPr>
                <w:rFonts w:hint="eastAsia" w:ascii="宋体" w:hAnsi="宋体"/>
                <w:sz w:val="24"/>
                <w:szCs w:val="24"/>
              </w:rPr>
              <w:t>创新</w:t>
            </w:r>
            <w:r>
              <w:rPr>
                <w:rFonts w:ascii="宋体" w:hAnsi="宋体"/>
                <w:sz w:val="24"/>
                <w:szCs w:val="24"/>
              </w:rPr>
              <w:t>设计了一种基于多元表征的亚细胞定位预测方法。针对蛋白质多重信息的特点，采用相对重要性的随机森林特征挑选核心信息，根据蛋白质多源信息的特点，利用模糊神经网络技术有效融合，</w:t>
            </w:r>
            <w:r>
              <w:rPr>
                <w:rFonts w:hint="eastAsia" w:ascii="宋体" w:hAnsi="宋体"/>
                <w:sz w:val="24"/>
                <w:szCs w:val="24"/>
              </w:rPr>
              <w:t>显著</w:t>
            </w:r>
            <w:r>
              <w:rPr>
                <w:rFonts w:ascii="宋体" w:hAnsi="宋体"/>
                <w:sz w:val="24"/>
                <w:szCs w:val="24"/>
              </w:rPr>
              <w:t>提高</w:t>
            </w:r>
            <w:r>
              <w:rPr>
                <w:rFonts w:hint="eastAsia" w:ascii="宋体" w:hAnsi="宋体"/>
                <w:sz w:val="24"/>
                <w:szCs w:val="24"/>
              </w:rPr>
              <w:t>了</w:t>
            </w:r>
            <w:r>
              <w:rPr>
                <w:rFonts w:ascii="宋体" w:hAnsi="宋体"/>
                <w:sz w:val="24"/>
                <w:szCs w:val="24"/>
              </w:rPr>
              <w:t>亚细胞定位预测</w:t>
            </w:r>
            <w:r>
              <w:rPr>
                <w:rFonts w:hint="eastAsia" w:ascii="宋体" w:hAnsi="宋体"/>
                <w:sz w:val="24"/>
                <w:szCs w:val="24"/>
              </w:rPr>
              <w:t>模型</w:t>
            </w:r>
            <w:r>
              <w:rPr>
                <w:rFonts w:ascii="宋体" w:hAnsi="宋体"/>
                <w:sz w:val="24"/>
                <w:szCs w:val="24"/>
              </w:rPr>
              <w:t>的</w:t>
            </w:r>
            <w:r>
              <w:rPr>
                <w:rFonts w:hint="eastAsia" w:ascii="宋体" w:hAnsi="宋体"/>
                <w:sz w:val="24"/>
                <w:szCs w:val="24"/>
              </w:rPr>
              <w:t>性能。</w:t>
            </w:r>
          </w:p>
          <w:p>
            <w:pPr>
              <w:autoSpaceDE w:val="0"/>
              <w:autoSpaceDN w:val="0"/>
              <w:adjustRightInd w:val="0"/>
              <w:snapToGrid w:val="0"/>
              <w:ind w:firstLine="480" w:firstLineChars="200"/>
              <w:rPr>
                <w:rFonts w:ascii="宋体" w:hAnsi="宋体"/>
                <w:sz w:val="24"/>
                <w:szCs w:val="24"/>
              </w:rPr>
            </w:pPr>
            <w:r>
              <w:rPr>
                <w:rFonts w:ascii="宋体" w:hAnsi="宋体"/>
                <w:sz w:val="24"/>
                <w:szCs w:val="24"/>
              </w:rPr>
              <w:t>3</w:t>
            </w:r>
            <w:r>
              <w:rPr>
                <w:rFonts w:hint="eastAsia" w:ascii="宋体" w:hAnsi="宋体"/>
                <w:sz w:val="24"/>
                <w:szCs w:val="24"/>
              </w:rPr>
              <w:t>、</w:t>
            </w:r>
            <w:r>
              <w:rPr>
                <w:rFonts w:ascii="宋体" w:hAnsi="宋体"/>
                <w:sz w:val="24"/>
                <w:szCs w:val="24"/>
              </w:rPr>
              <w:t>基于蛋白序列</w:t>
            </w:r>
            <w:r>
              <w:rPr>
                <w:rFonts w:hint="eastAsia" w:ascii="宋体" w:hAnsi="宋体"/>
                <w:sz w:val="24"/>
                <w:szCs w:val="24"/>
              </w:rPr>
              <w:t>信息，开创性地提出了</w:t>
            </w:r>
            <w:r>
              <w:rPr>
                <w:rFonts w:ascii="宋体" w:hAnsi="宋体"/>
                <w:sz w:val="24"/>
                <w:szCs w:val="24"/>
              </w:rPr>
              <w:t>血凝素抑制试验测试数据</w:t>
            </w:r>
            <w:r>
              <w:rPr>
                <w:rFonts w:hint="eastAsia" w:ascii="宋体" w:hAnsi="宋体"/>
                <w:sz w:val="24"/>
                <w:szCs w:val="24"/>
              </w:rPr>
              <w:t>的</w:t>
            </w:r>
            <w:r>
              <w:rPr>
                <w:rFonts w:ascii="宋体" w:hAnsi="宋体"/>
                <w:sz w:val="24"/>
                <w:szCs w:val="24"/>
              </w:rPr>
              <w:t>矩阵填充</w:t>
            </w:r>
            <w:r>
              <w:rPr>
                <w:rFonts w:hint="eastAsia" w:ascii="宋体" w:hAnsi="宋体"/>
                <w:sz w:val="24"/>
                <w:szCs w:val="24"/>
              </w:rPr>
              <w:t>模型</w:t>
            </w:r>
            <w:r>
              <w:rPr>
                <w:rFonts w:ascii="宋体" w:hAnsi="宋体"/>
                <w:sz w:val="24"/>
                <w:szCs w:val="24"/>
              </w:rPr>
              <w:t>，通过多维尺度分析算法将其抗原性距离映射到二维空间，从而将甲型流感病毒抗原性距离可视化。结合对应血清学数据分析甲型流感病毒的抗原性变异</w:t>
            </w:r>
            <w:r>
              <w:rPr>
                <w:rFonts w:hint="eastAsia" w:ascii="宋体" w:hAnsi="宋体"/>
                <w:sz w:val="24"/>
                <w:szCs w:val="24"/>
              </w:rPr>
              <w:t>，设计</w:t>
            </w:r>
            <w:r>
              <w:rPr>
                <w:rFonts w:ascii="宋体" w:hAnsi="宋体"/>
                <w:sz w:val="24"/>
                <w:szCs w:val="24"/>
              </w:rPr>
              <w:t>联合随机森林算法，用于直接预测甲型流感病毒的抗原性距离。</w:t>
            </w:r>
            <w:r>
              <w:rPr>
                <w:rFonts w:hint="eastAsia" w:ascii="宋体" w:hAnsi="宋体"/>
                <w:sz w:val="24"/>
                <w:szCs w:val="24"/>
              </w:rPr>
              <w:t>该模型</w:t>
            </w:r>
            <w:r>
              <w:rPr>
                <w:rFonts w:ascii="宋体" w:hAnsi="宋体"/>
                <w:sz w:val="24"/>
                <w:szCs w:val="24"/>
              </w:rPr>
              <w:t>不仅提升了预测精度</w:t>
            </w:r>
            <w:r>
              <w:rPr>
                <w:rFonts w:hint="eastAsia" w:ascii="宋体" w:hAnsi="宋体"/>
                <w:sz w:val="24"/>
                <w:szCs w:val="24"/>
              </w:rPr>
              <w:t>，</w:t>
            </w:r>
            <w:r>
              <w:rPr>
                <w:rFonts w:ascii="宋体" w:hAnsi="宋体"/>
                <w:sz w:val="24"/>
                <w:szCs w:val="24"/>
              </w:rPr>
              <w:t>而且对新的病毒序列的抗原性变异</w:t>
            </w:r>
            <w:r>
              <w:rPr>
                <w:rFonts w:hint="eastAsia" w:ascii="宋体" w:hAnsi="宋体"/>
                <w:sz w:val="24"/>
                <w:szCs w:val="24"/>
              </w:rPr>
              <w:t>展现出</w:t>
            </w:r>
            <w:r>
              <w:rPr>
                <w:rFonts w:ascii="宋体" w:hAnsi="宋体"/>
                <w:sz w:val="24"/>
                <w:szCs w:val="24"/>
              </w:rPr>
              <w:t>很好的预测效果</w:t>
            </w:r>
            <w:r>
              <w:rPr>
                <w:rFonts w:hint="eastAsia" w:ascii="宋体" w:hAnsi="宋体"/>
                <w:sz w:val="24"/>
                <w:szCs w:val="24"/>
              </w:rPr>
              <w:t>，能够为揭示流感病毒的流行趋势、毒性、抗药性并对设计新的疫苗提供支持。</w:t>
            </w:r>
          </w:p>
          <w:p>
            <w:pPr>
              <w:autoSpaceDE w:val="0"/>
              <w:autoSpaceDN w:val="0"/>
              <w:adjustRightInd w:val="0"/>
              <w:snapToGrid w:val="0"/>
              <w:ind w:firstLine="480" w:firstLineChars="200"/>
              <w:rPr>
                <w:rFonts w:ascii="宋体" w:hAnsi="宋体"/>
                <w:sz w:val="24"/>
                <w:szCs w:val="24"/>
              </w:rPr>
            </w:pPr>
            <w:r>
              <w:rPr>
                <w:rFonts w:ascii="宋体" w:hAnsi="宋体"/>
                <w:sz w:val="24"/>
                <w:szCs w:val="24"/>
              </w:rPr>
              <w:t>4</w:t>
            </w:r>
            <w:r>
              <w:rPr>
                <w:rFonts w:hint="eastAsia" w:ascii="宋体" w:hAnsi="宋体"/>
                <w:sz w:val="24"/>
                <w:szCs w:val="24"/>
              </w:rPr>
              <w:t>、首次提出了一种基于分子网络的ceRNA识别方法与流程。整合</w:t>
            </w:r>
            <w:r>
              <w:rPr>
                <w:rFonts w:ascii="宋体" w:hAnsi="宋体"/>
                <w:sz w:val="24"/>
                <w:szCs w:val="24"/>
              </w:rPr>
              <w:t>多种数据库</w:t>
            </w:r>
            <w:r>
              <w:rPr>
                <w:rFonts w:hint="eastAsia" w:ascii="宋体" w:hAnsi="宋体"/>
                <w:sz w:val="24"/>
                <w:szCs w:val="24"/>
              </w:rPr>
              <w:t>构建</w:t>
            </w:r>
            <w:r>
              <w:rPr>
                <w:rFonts w:ascii="宋体" w:hAnsi="宋体"/>
                <w:sz w:val="24"/>
                <w:szCs w:val="24"/>
              </w:rPr>
              <w:t>lncRNA-miRNA-mRNA竞争性内源</w:t>
            </w:r>
            <w:r>
              <w:rPr>
                <w:rFonts w:hint="eastAsia" w:ascii="宋体" w:hAnsi="宋体"/>
                <w:sz w:val="24"/>
                <w:szCs w:val="24"/>
              </w:rPr>
              <w:t>RNA网络，</w:t>
            </w:r>
            <w:r>
              <w:rPr>
                <w:rFonts w:ascii="宋体" w:hAnsi="宋体"/>
                <w:sz w:val="24"/>
                <w:szCs w:val="24"/>
              </w:rPr>
              <w:t>筛选与甲状腺癌高度相关的关键生物标志物，同时对照临床数据进行生存曲线分析判断其诊断价值</w:t>
            </w:r>
            <w:r>
              <w:rPr>
                <w:rFonts w:hint="eastAsia" w:ascii="宋体" w:hAnsi="宋体"/>
                <w:sz w:val="24"/>
                <w:szCs w:val="24"/>
              </w:rPr>
              <w:t>，</w:t>
            </w:r>
            <w:r>
              <w:rPr>
                <w:rFonts w:ascii="宋体" w:hAnsi="宋体"/>
                <w:sz w:val="24"/>
                <w:szCs w:val="24"/>
              </w:rPr>
              <w:t>进一步结合基因扰动表达标签进行药物预测</w:t>
            </w:r>
            <w:r>
              <w:rPr>
                <w:rFonts w:hint="eastAsia" w:ascii="宋体" w:hAnsi="宋体"/>
                <w:sz w:val="24"/>
                <w:szCs w:val="24"/>
              </w:rPr>
              <w:t>。通过</w:t>
            </w:r>
            <w:r>
              <w:rPr>
                <w:rFonts w:ascii="宋体" w:hAnsi="宋体"/>
                <w:sz w:val="24"/>
                <w:szCs w:val="24"/>
              </w:rPr>
              <w:t>对</w:t>
            </w:r>
            <w:r>
              <w:rPr>
                <w:rFonts w:hint="eastAsia" w:ascii="宋体" w:hAnsi="宋体"/>
                <w:sz w:val="24"/>
                <w:szCs w:val="24"/>
              </w:rPr>
              <w:t>甲状腺癌的</w:t>
            </w:r>
            <w:r>
              <w:rPr>
                <w:rFonts w:ascii="宋体" w:hAnsi="宋体"/>
                <w:sz w:val="24"/>
                <w:szCs w:val="24"/>
              </w:rPr>
              <w:t>多组学数据分析并结合临床特征数据</w:t>
            </w:r>
            <w:r>
              <w:rPr>
                <w:rFonts w:hint="eastAsia" w:ascii="宋体" w:hAnsi="宋体"/>
                <w:sz w:val="24"/>
                <w:szCs w:val="24"/>
              </w:rPr>
              <w:t>，</w:t>
            </w:r>
            <w:r>
              <w:rPr>
                <w:rFonts w:ascii="宋体" w:hAnsi="宋体"/>
                <w:sz w:val="24"/>
                <w:szCs w:val="24"/>
              </w:rPr>
              <w:t>有助于揭露甲状腺癌发生的分子机制，为甲状腺癌的研究和药物开发提供依据。</w:t>
            </w:r>
          </w:p>
          <w:p>
            <w:pPr>
              <w:autoSpaceDE w:val="0"/>
              <w:autoSpaceDN w:val="0"/>
              <w:adjustRightInd w:val="0"/>
              <w:ind w:firstLine="480" w:firstLineChars="200"/>
              <w:rPr>
                <w:rFonts w:cs="仿宋_GB2312" w:asciiTheme="minorEastAsia" w:hAnsiTheme="minorEastAsia" w:eastAsiaTheme="minorEastAsia"/>
                <w:color w:val="000000"/>
                <w:sz w:val="24"/>
                <w:szCs w:val="24"/>
              </w:rPr>
            </w:pPr>
            <w:r>
              <w:rPr>
                <w:rFonts w:hint="eastAsia" w:ascii="宋体" w:hAnsi="宋体"/>
                <w:sz w:val="24"/>
                <w:szCs w:val="24"/>
              </w:rPr>
              <w:t>研究团队</w:t>
            </w:r>
            <w:r>
              <w:rPr>
                <w:rFonts w:ascii="宋体" w:hAnsi="宋体"/>
                <w:sz w:val="24"/>
                <w:szCs w:val="24"/>
              </w:rPr>
              <w:t>开展创新型交叉</w:t>
            </w:r>
            <w:r>
              <w:rPr>
                <w:rFonts w:hint="eastAsia" w:ascii="宋体" w:hAnsi="宋体"/>
                <w:sz w:val="24"/>
                <w:szCs w:val="24"/>
              </w:rPr>
              <w:t>科学</w:t>
            </w:r>
            <w:r>
              <w:rPr>
                <w:rFonts w:ascii="宋体" w:hAnsi="宋体"/>
                <w:sz w:val="24"/>
                <w:szCs w:val="24"/>
              </w:rPr>
              <w:t>研究，</w:t>
            </w:r>
            <w:r>
              <w:rPr>
                <w:rFonts w:hint="eastAsia" w:ascii="宋体" w:hAnsi="宋体"/>
                <w:sz w:val="24"/>
                <w:szCs w:val="24"/>
              </w:rPr>
              <w:t>发表SCI检索论文</w:t>
            </w:r>
            <w:r>
              <w:rPr>
                <w:rFonts w:ascii="宋体" w:hAnsi="宋体"/>
                <w:sz w:val="24"/>
                <w:szCs w:val="24"/>
              </w:rPr>
              <w:t>51</w:t>
            </w:r>
            <w:r>
              <w:rPr>
                <w:rFonts w:hint="eastAsia" w:ascii="宋体" w:hAnsi="宋体"/>
                <w:sz w:val="24"/>
                <w:szCs w:val="24"/>
              </w:rPr>
              <w:t>篇，其中</w:t>
            </w:r>
            <w:r>
              <w:rPr>
                <w:rFonts w:ascii="宋体" w:hAnsi="宋体"/>
                <w:sz w:val="24"/>
                <w:szCs w:val="24"/>
              </w:rPr>
              <w:t>8</w:t>
            </w:r>
            <w:r>
              <w:rPr>
                <w:rFonts w:hint="eastAsia" w:ascii="宋体" w:hAnsi="宋体"/>
                <w:sz w:val="24"/>
                <w:szCs w:val="24"/>
              </w:rPr>
              <w:t>篇代表性论文SCI他引</w:t>
            </w:r>
            <w:r>
              <w:rPr>
                <w:rFonts w:ascii="宋体" w:hAnsi="宋体"/>
                <w:sz w:val="24"/>
                <w:szCs w:val="24"/>
              </w:rPr>
              <w:t>163</w:t>
            </w:r>
            <w:r>
              <w:rPr>
                <w:rFonts w:hint="eastAsia" w:ascii="宋体" w:hAnsi="宋体"/>
                <w:sz w:val="24"/>
                <w:szCs w:val="24"/>
              </w:rPr>
              <w:t>次。成果被</w:t>
            </w:r>
            <w:r>
              <w:rPr>
                <w:rFonts w:ascii="宋体" w:hAnsi="宋体"/>
                <w:sz w:val="24"/>
                <w:szCs w:val="24"/>
              </w:rPr>
              <w:t>Briefings in Bioinformatics</w:t>
            </w:r>
            <w:r>
              <w:rPr>
                <w:rFonts w:hint="eastAsia" w:ascii="宋体" w:hAnsi="宋体"/>
                <w:sz w:val="24"/>
                <w:szCs w:val="24"/>
              </w:rPr>
              <w:t>、</w:t>
            </w:r>
            <w:r>
              <w:rPr>
                <w:rFonts w:ascii="宋体" w:hAnsi="宋体"/>
                <w:sz w:val="24"/>
                <w:szCs w:val="24"/>
              </w:rPr>
              <w:t>Journal of Cellular Physiology</w:t>
            </w:r>
            <w:r>
              <w:rPr>
                <w:rFonts w:hint="eastAsia" w:ascii="宋体" w:hAnsi="宋体"/>
                <w:sz w:val="24"/>
                <w:szCs w:val="24"/>
              </w:rPr>
              <w:t>等领域内SCI</w:t>
            </w:r>
            <w:r>
              <w:rPr>
                <w:rFonts w:ascii="宋体" w:hAnsi="宋体"/>
                <w:sz w:val="24"/>
                <w:szCs w:val="24"/>
              </w:rPr>
              <w:t xml:space="preserve"> </w:t>
            </w:r>
            <w:r>
              <w:rPr>
                <w:rFonts w:hint="eastAsia" w:ascii="宋体" w:hAnsi="宋体"/>
                <w:sz w:val="24"/>
                <w:szCs w:val="24"/>
              </w:rPr>
              <w:t>top期刊正面评述和介绍，得到美国、英国、加拿大、澳大利亚等国际同行与中国科技大学、复旦大学等国内知名学者的团队引用与认可，</w:t>
            </w:r>
            <w:r>
              <w:rPr>
                <w:rFonts w:ascii="宋体" w:hAnsi="宋体"/>
                <w:sz w:val="24"/>
                <w:szCs w:val="24"/>
              </w:rPr>
              <w:t>受到</w:t>
            </w:r>
            <w:r>
              <w:rPr>
                <w:rFonts w:hint="eastAsia" w:ascii="宋体" w:hAnsi="宋体"/>
                <w:sz w:val="24"/>
                <w:szCs w:val="24"/>
              </w:rPr>
              <w:t>国内外学术界</w:t>
            </w:r>
            <w:r>
              <w:rPr>
                <w:rFonts w:ascii="宋体" w:hAnsi="宋体"/>
                <w:sz w:val="24"/>
                <w:szCs w:val="24"/>
              </w:rPr>
              <w:t>的</w:t>
            </w:r>
            <w:r>
              <w:rPr>
                <w:rFonts w:hint="eastAsia" w:ascii="宋体" w:hAnsi="宋体"/>
                <w:sz w:val="24"/>
                <w:szCs w:val="24"/>
              </w:rPr>
              <w:t>广泛</w:t>
            </w:r>
            <w:r>
              <w:rPr>
                <w:rFonts w:ascii="宋体" w:hAnsi="宋体"/>
                <w:sz w:val="24"/>
                <w:szCs w:val="24"/>
              </w:rPr>
              <w:t>关注和肯定。</w:t>
            </w:r>
            <w:r>
              <w:rPr>
                <w:rFonts w:hint="eastAsia" w:ascii="宋体" w:hAnsi="宋体"/>
                <w:sz w:val="24"/>
                <w:szCs w:val="24"/>
              </w:rPr>
              <w:t>项目组成员应邀参加国际、国内学术会议十余次，其中多次做大会特邀报告并担任分会主席。</w:t>
            </w:r>
            <w:bookmarkEnd w:id="10"/>
          </w:p>
        </w:tc>
      </w:tr>
      <w:bookmarkEnd w:id="9"/>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3" w:hRule="atLeast"/>
          <w:jc w:val="center"/>
        </w:trPr>
        <w:tc>
          <w:tcPr>
            <w:tcW w:w="2269" w:type="dxa"/>
            <w:tcBorders>
              <w:right w:val="single" w:color="auto" w:sz="4" w:space="0"/>
            </w:tcBorders>
            <w:vAlign w:val="center"/>
          </w:tcPr>
          <w:p>
            <w:pPr>
              <w:spacing w:line="440" w:lineRule="exact"/>
              <w:jc w:val="center"/>
              <w:rPr>
                <w:rFonts w:eastAsia="仿宋_GB2312"/>
                <w:b/>
                <w:bCs/>
                <w:sz w:val="24"/>
                <w:szCs w:val="24"/>
              </w:rPr>
            </w:pPr>
            <w:r>
              <w:rPr>
                <w:rFonts w:eastAsia="仿宋_GB2312"/>
                <w:b/>
                <w:bCs/>
                <w:sz w:val="24"/>
                <w:szCs w:val="24"/>
              </w:rPr>
              <w:t>提名书</w:t>
            </w:r>
          </w:p>
          <w:p>
            <w:pPr>
              <w:spacing w:line="440" w:lineRule="exact"/>
              <w:jc w:val="center"/>
              <w:rPr>
                <w:rFonts w:eastAsia="仿宋_GB2312"/>
                <w:b/>
                <w:bCs/>
                <w:sz w:val="24"/>
                <w:szCs w:val="24"/>
              </w:rPr>
            </w:pPr>
            <w:r>
              <w:rPr>
                <w:rFonts w:eastAsia="仿宋_GB2312"/>
                <w:b/>
                <w:bCs/>
                <w:sz w:val="24"/>
                <w:szCs w:val="24"/>
              </w:rPr>
              <w:t>相关内容</w:t>
            </w:r>
          </w:p>
        </w:tc>
        <w:tc>
          <w:tcPr>
            <w:tcW w:w="7051" w:type="dxa"/>
            <w:tcBorders>
              <w:left w:val="single" w:color="auto" w:sz="4" w:space="0"/>
            </w:tcBorders>
            <w:vAlign w:val="center"/>
          </w:tcPr>
          <w:p>
            <w:pPr>
              <w:pStyle w:val="10"/>
              <w:widowControl/>
              <w:numPr>
                <w:ilvl w:val="0"/>
                <w:numId w:val="1"/>
              </w:numPr>
              <w:tabs>
                <w:tab w:val="left" w:pos="1080"/>
              </w:tabs>
              <w:adjustRightInd w:val="0"/>
              <w:snapToGrid w:val="0"/>
              <w:ind w:firstLineChars="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 xml:space="preserve">Yuhua Yao, Fen Kong, Qi Dai, Ping-an He. A Sequence-Segmented Method Applied to the Similarity Analysis of Long Protein Sequence. MATCH Communications in Mathematical and in Computer Chemistry, 2013, 70(1): 431-450.   </w:t>
            </w:r>
          </w:p>
          <w:p>
            <w:pPr>
              <w:pStyle w:val="10"/>
              <w:widowControl/>
              <w:numPr>
                <w:ilvl w:val="0"/>
                <w:numId w:val="1"/>
              </w:numPr>
              <w:tabs>
                <w:tab w:val="left" w:pos="1080"/>
              </w:tabs>
              <w:adjustRightInd w:val="0"/>
              <w:snapToGrid w:val="0"/>
              <w:ind w:firstLineChars="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 xml:space="preserve">Junru Wang, Cong Wang, Jiajia Cao, Xiaoqing Liu, Yuhua Yao, Qi Dai. Prediction of protein structural classes for low-similarity sequences using reduced PSSM and position-based secondary structural features. Gene, 2015, 554: 241-248. </w:t>
            </w:r>
          </w:p>
          <w:p>
            <w:pPr>
              <w:pStyle w:val="10"/>
              <w:numPr>
                <w:ilvl w:val="0"/>
                <w:numId w:val="1"/>
              </w:numPr>
              <w:autoSpaceDE w:val="0"/>
              <w:autoSpaceDN w:val="0"/>
              <w:adjustRightInd w:val="0"/>
              <w:snapToGrid w:val="0"/>
              <w:ind w:firstLineChars="0"/>
              <w:rPr>
                <w:rFonts w:eastAsiaTheme="minorEastAsia"/>
                <w:color w:val="000000" w:themeColor="text1"/>
                <w:kern w:val="0"/>
                <w:sz w:val="24"/>
                <w14:textFill>
                  <w14:solidFill>
                    <w14:schemeClr w14:val="tx1"/>
                  </w14:solidFill>
                </w14:textFill>
              </w:rPr>
            </w:pPr>
            <w:r>
              <w:rPr>
                <w:rFonts w:eastAsiaTheme="minorEastAsia"/>
                <w:color w:val="000000" w:themeColor="text1"/>
                <w:sz w:val="24"/>
                <w14:textFill>
                  <w14:solidFill>
                    <w14:schemeClr w14:val="tx1"/>
                  </w14:solidFill>
                </w14:textFill>
              </w:rPr>
              <w:t xml:space="preserve">Qilin Xiang, Bo Liao, Xianhong Li, Huimin Xu, Jing Chen, Zhuoxing Shi, Qi Dai, Yuhua Yao. Subcellular localization prediction of apoptosis proteins based on evolutionary information and support vector machine. Artificial Intelligence in Medicine, 2017, 78: 41-46.   </w:t>
            </w:r>
          </w:p>
          <w:p>
            <w:pPr>
              <w:pStyle w:val="10"/>
              <w:widowControl/>
              <w:numPr>
                <w:ilvl w:val="0"/>
                <w:numId w:val="1"/>
              </w:numPr>
              <w:tabs>
                <w:tab w:val="left" w:pos="1080"/>
              </w:tabs>
              <w:adjustRightInd w:val="0"/>
              <w:snapToGrid w:val="0"/>
              <w:ind w:firstLineChars="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Qi Dai, Sheng Ma, Yabin Hai, Yuhua Yao, Xiaoqing Liu. A segmentation based model for subcellular location prediction of apoptosis protein. Chemometrics and Intelligent Laboratory Systems, 2016, 158: 146-154.</w:t>
            </w:r>
          </w:p>
          <w:p>
            <w:pPr>
              <w:pStyle w:val="10"/>
              <w:numPr>
                <w:ilvl w:val="0"/>
                <w:numId w:val="1"/>
              </w:numPr>
              <w:autoSpaceDE w:val="0"/>
              <w:autoSpaceDN w:val="0"/>
              <w:adjustRightInd w:val="0"/>
              <w:snapToGrid w:val="0"/>
              <w:ind w:firstLineChars="0"/>
              <w:rPr>
                <w:rFonts w:eastAsiaTheme="minorEastAsia"/>
                <w:color w:val="000000" w:themeColor="text1"/>
                <w:kern w:val="0"/>
                <w:sz w:val="24"/>
                <w14:textFill>
                  <w14:solidFill>
                    <w14:schemeClr w14:val="tx1"/>
                  </w14:solidFill>
                </w14:textFill>
              </w:rPr>
            </w:pPr>
            <w:r>
              <w:rPr>
                <w:rFonts w:eastAsiaTheme="minorEastAsia"/>
                <w:color w:val="000000" w:themeColor="text1"/>
                <w:sz w:val="24"/>
                <w14:textFill>
                  <w14:solidFill>
                    <w14:schemeClr w14:val="tx1"/>
                  </w14:solidFill>
                </w14:textFill>
              </w:rPr>
              <w:t xml:space="preserve">Yuhua Yao, Xianhong Li, Bo Liao, Li Huang, Ping-an He, Fayou Wang, Jiasheng Yang, Hailiang Sun, Yulong Zhao, Jialiang Yang. Predicting influenza antigenicity from Hemagglutintin sequence data based on a joint random forest method. Scientific Reports, 2017, 7: 1545. </w:t>
            </w:r>
          </w:p>
          <w:p>
            <w:pPr>
              <w:pStyle w:val="10"/>
              <w:numPr>
                <w:ilvl w:val="0"/>
                <w:numId w:val="1"/>
              </w:numPr>
              <w:autoSpaceDE w:val="0"/>
              <w:autoSpaceDN w:val="0"/>
              <w:adjustRightInd w:val="0"/>
              <w:snapToGrid w:val="0"/>
              <w:ind w:firstLineChars="0"/>
              <w:rPr>
                <w:rFonts w:eastAsiaTheme="minorEastAsia"/>
                <w:color w:val="000000" w:themeColor="text1"/>
                <w:kern w:val="0"/>
                <w:sz w:val="24"/>
                <w14:textFill>
                  <w14:solidFill>
                    <w14:schemeClr w14:val="tx1"/>
                  </w14:solidFill>
                </w14:textFill>
              </w:rPr>
            </w:pPr>
            <w:r>
              <w:rPr>
                <w:rFonts w:eastAsiaTheme="minorEastAsia"/>
                <w:color w:val="000000" w:themeColor="text1"/>
                <w:sz w:val="24"/>
                <w14:textFill>
                  <w14:solidFill>
                    <w14:schemeClr w14:val="tx1"/>
                  </w14:solidFill>
                </w14:textFill>
              </w:rPr>
              <w:t>Li Huang, Xianhong Li, Pengfei Guo, Yuhua Yao, Bo Liao, Weiwei Zhang, </w:t>
            </w:r>
            <w:r>
              <w:rPr>
                <w:color w:val="000000" w:themeColor="text1"/>
                <w:sz w:val="24"/>
                <w14:textFill>
                  <w14:solidFill>
                    <w14:schemeClr w14:val="tx1"/>
                  </w14:solidFill>
                </w14:textFill>
              </w:rPr>
              <w:fldChar w:fldCharType="begin"/>
            </w:r>
            <w:r>
              <w:rPr>
                <w:color w:val="000000" w:themeColor="text1"/>
                <w:sz w:val="24"/>
                <w14:textFill>
                  <w14:solidFill>
                    <w14:schemeClr w14:val="tx1"/>
                  </w14:solidFill>
                </w14:textFill>
              </w:rPr>
              <w:instrText xml:space="preserve"> HYPERLINK "javascript:;" </w:instrText>
            </w:r>
            <w:r>
              <w:rPr>
                <w:color w:val="000000" w:themeColor="text1"/>
                <w:sz w:val="24"/>
                <w14:textFill>
                  <w14:solidFill>
                    <w14:schemeClr w14:val="tx1"/>
                  </w14:solidFill>
                </w14:textFill>
              </w:rPr>
              <w:fldChar w:fldCharType="separate"/>
            </w:r>
            <w:r>
              <w:rPr>
                <w:rFonts w:eastAsiaTheme="minorEastAsia"/>
                <w:color w:val="000000" w:themeColor="text1"/>
                <w:sz w:val="24"/>
                <w14:textFill>
                  <w14:solidFill>
                    <w14:schemeClr w14:val="tx1"/>
                  </w14:solidFill>
                </w14:textFill>
              </w:rPr>
              <w:t>Fayou Wang</w:t>
            </w:r>
            <w:r>
              <w:rPr>
                <w:rFonts w:eastAsiaTheme="minorEastAsia"/>
                <w:color w:val="000000" w:themeColor="text1"/>
                <w:sz w:val="24"/>
                <w14:textFill>
                  <w14:solidFill>
                    <w14:schemeClr w14:val="tx1"/>
                  </w14:solidFill>
                </w14:textFill>
              </w:rPr>
              <w:fldChar w:fldCharType="end"/>
            </w:r>
            <w:r>
              <w:rPr>
                <w:rFonts w:eastAsiaTheme="minorEastAsia"/>
                <w:color w:val="000000" w:themeColor="text1"/>
                <w:sz w:val="24"/>
                <w14:textFill>
                  <w14:solidFill>
                    <w14:schemeClr w14:val="tx1"/>
                  </w14:solidFill>
                </w14:textFill>
              </w:rPr>
              <w:t>, Jiasheng Yang, Yulong Zhao, Hailiang Sun, Ping-an He, Jialiang Yang. Matrix completion with side information and its applications in predicting the antigenicity of influenza viruses. Bioinformatics, 2017</w:t>
            </w:r>
            <w:r>
              <w:rPr>
                <w:rFonts w:hint="eastAsia" w:eastAsiaTheme="minorEastAsia"/>
                <w:color w:val="000000" w:themeColor="text1"/>
                <w:sz w:val="24"/>
                <w14:textFill>
                  <w14:solidFill>
                    <w14:schemeClr w14:val="tx1"/>
                  </w14:solidFill>
                </w14:textFill>
              </w:rPr>
              <w:t>,33(20):3195-3201</w:t>
            </w:r>
            <w:r>
              <w:rPr>
                <w:rFonts w:eastAsiaTheme="minorEastAsia"/>
                <w:color w:val="000000" w:themeColor="text1"/>
                <w:sz w:val="24"/>
                <w14:textFill>
                  <w14:solidFill>
                    <w14:schemeClr w14:val="tx1"/>
                  </w14:solidFill>
                </w14:textFill>
              </w:rPr>
              <w:t xml:space="preserve">.  </w:t>
            </w:r>
          </w:p>
          <w:p>
            <w:pPr>
              <w:pStyle w:val="10"/>
              <w:numPr>
                <w:ilvl w:val="0"/>
                <w:numId w:val="1"/>
              </w:numPr>
              <w:autoSpaceDE w:val="0"/>
              <w:autoSpaceDN w:val="0"/>
              <w:adjustRightInd w:val="0"/>
              <w:snapToGrid w:val="0"/>
              <w:ind w:firstLineChars="0"/>
              <w:rPr>
                <w:rFonts w:eastAsiaTheme="minorEastAsia"/>
                <w:color w:val="000000" w:themeColor="text1"/>
                <w:sz w:val="24"/>
                <w14:textFill>
                  <w14:solidFill>
                    <w14:schemeClr w14:val="tx1"/>
                  </w14:solidFill>
                </w14:textFill>
              </w:rPr>
            </w:pPr>
            <w:r>
              <w:rPr>
                <w:rFonts w:eastAsiaTheme="minorEastAsia"/>
                <w:color w:val="000000" w:themeColor="text1"/>
                <w:sz w:val="24"/>
                <w14:textFill>
                  <w14:solidFill>
                    <w14:schemeClr w14:val="tx1"/>
                  </w14:solidFill>
                </w14:textFill>
              </w:rPr>
              <w:t>Xingyu Xu, Haixia Long, Baohang Xi, Binbin Ji, Zejun Li, Yunyue Dang, Caiying Jiang, Yuhua Yao, Jialiang Yang. Molecular Network-Based Drug Prediction in Thyroid Cancer. International Journal of Molecular Sciences, 2019, 20</w:t>
            </w:r>
            <w:r>
              <w:rPr>
                <w:rFonts w:hint="eastAsia" w:eastAsiaTheme="minorEastAsia"/>
                <w:color w:val="000000" w:themeColor="text1"/>
                <w:sz w:val="24"/>
                <w14:textFill>
                  <w14:solidFill>
                    <w14:schemeClr w14:val="tx1"/>
                  </w14:solidFill>
                </w14:textFill>
              </w:rPr>
              <w:t>(2):</w:t>
            </w:r>
            <w:r>
              <w:rPr>
                <w:rFonts w:eastAsiaTheme="minorEastAsia"/>
                <w:color w:val="000000" w:themeColor="text1"/>
                <w:sz w:val="24"/>
                <w14:textFill>
                  <w14:solidFill>
                    <w14:schemeClr w14:val="tx1"/>
                  </w14:solidFill>
                </w14:textFill>
              </w:rPr>
              <w:t xml:space="preserve"> 263. </w:t>
            </w:r>
          </w:p>
          <w:p>
            <w:pPr>
              <w:pStyle w:val="10"/>
              <w:numPr>
                <w:ilvl w:val="0"/>
                <w:numId w:val="1"/>
              </w:numPr>
              <w:autoSpaceDE w:val="0"/>
              <w:autoSpaceDN w:val="0"/>
              <w:adjustRightInd w:val="0"/>
              <w:snapToGrid w:val="0"/>
              <w:ind w:firstLineChars="0"/>
              <w:rPr>
                <w:rFonts w:eastAsiaTheme="minorEastAsia"/>
                <w:color w:val="000000" w:themeColor="text1"/>
                <w:kern w:val="0"/>
                <w:sz w:val="24"/>
                <w14:textFill>
                  <w14:solidFill>
                    <w14:schemeClr w14:val="tx1"/>
                  </w14:solidFill>
                </w14:textFill>
              </w:rPr>
            </w:pPr>
            <w:r>
              <w:rPr>
                <w:rFonts w:eastAsiaTheme="minorEastAsia"/>
                <w:color w:val="000000" w:themeColor="text1"/>
                <w:sz w:val="24"/>
                <w14:textFill>
                  <w14:solidFill>
                    <w14:schemeClr w14:val="tx1"/>
                  </w14:solidFill>
                </w14:textFill>
              </w:rPr>
              <w:t>Minjia Lu, Xingyu Xu, Baohang Xi, Chenli Li, Li Su, Xiaonan Zhou, Min Tang, Yuhua Yao, Jialiang Yang</w:t>
            </w:r>
            <w:r>
              <w:rPr>
                <w:rFonts w:hint="eastAsia" w:eastAsiaTheme="minorEastAsia"/>
                <w:color w:val="000000" w:themeColor="text1"/>
                <w:sz w:val="24"/>
                <w14:textFill>
                  <w14:solidFill>
                    <w14:schemeClr w14:val="tx1"/>
                  </w14:solidFill>
                </w14:textFill>
              </w:rPr>
              <w:t xml:space="preserve">. </w:t>
            </w:r>
            <w:r>
              <w:rPr>
                <w:rFonts w:eastAsiaTheme="minorEastAsia"/>
                <w:color w:val="000000" w:themeColor="text1"/>
                <w:sz w:val="24"/>
                <w14:textFill>
                  <w14:solidFill>
                    <w14:schemeClr w14:val="tx1"/>
                  </w14:solidFill>
                </w14:textFill>
              </w:rPr>
              <w:t>Molecular network-based identification</w:t>
            </w:r>
            <w:r>
              <w:rPr>
                <w:rFonts w:hint="eastAsia" w:eastAsiaTheme="minorEastAsia"/>
                <w:color w:val="000000" w:themeColor="text1"/>
                <w:sz w:val="24"/>
                <w14:textFill>
                  <w14:solidFill>
                    <w14:schemeClr w14:val="tx1"/>
                  </w14:solidFill>
                </w14:textFill>
              </w:rPr>
              <w:t xml:space="preserve"> </w:t>
            </w:r>
            <w:r>
              <w:rPr>
                <w:rFonts w:eastAsiaTheme="minorEastAsia"/>
                <w:color w:val="000000" w:themeColor="text1"/>
                <w:sz w:val="24"/>
                <w14:textFill>
                  <w14:solidFill>
                    <w14:schemeClr w14:val="tx1"/>
                  </w14:solidFill>
                </w14:textFill>
              </w:rPr>
              <w:t>of competing endogenous RNAs in thyroid carcinoma</w:t>
            </w:r>
            <w:r>
              <w:rPr>
                <w:rFonts w:hint="eastAsia" w:eastAsiaTheme="minorEastAsia"/>
                <w:color w:val="000000" w:themeColor="text1"/>
                <w:sz w:val="24"/>
                <w14:textFill>
                  <w14:solidFill>
                    <w14:schemeClr w14:val="tx1"/>
                  </w14:solidFill>
                </w14:textFill>
              </w:rPr>
              <w:t xml:space="preserve">. </w:t>
            </w:r>
            <w:r>
              <w:rPr>
                <w:rFonts w:eastAsiaTheme="minorEastAsia"/>
                <w:color w:val="000000" w:themeColor="text1"/>
                <w:sz w:val="24"/>
                <w14:textFill>
                  <w14:solidFill>
                    <w14:schemeClr w14:val="tx1"/>
                  </w14:solidFill>
                </w14:textFill>
              </w:rPr>
              <w:t>Genes, 2018, 9 (1)</w:t>
            </w:r>
            <w:r>
              <w:rPr>
                <w:rFonts w:hint="eastAsia" w:eastAsiaTheme="minorEastAsia"/>
                <w:color w:val="000000" w:themeColor="text1"/>
                <w:sz w:val="24"/>
                <w14:textFill>
                  <w14:solidFill>
                    <w14:schemeClr w14:val="tx1"/>
                  </w14:solidFill>
                </w14:textFill>
              </w:rPr>
              <w:t>:</w:t>
            </w:r>
            <w:r>
              <w:rPr>
                <w:rFonts w:eastAsiaTheme="minorEastAsia"/>
                <w:color w:val="000000" w:themeColor="text1"/>
                <w:sz w:val="24"/>
                <w14:textFill>
                  <w14:solidFill>
                    <w14:schemeClr w14:val="tx1"/>
                  </w14:solidFill>
                </w14:textFill>
              </w:rPr>
              <w:t xml:space="preserve"> 44.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5" w:hRule="atLeast"/>
          <w:jc w:val="center"/>
        </w:trPr>
        <w:tc>
          <w:tcPr>
            <w:tcW w:w="2269" w:type="dxa"/>
            <w:vAlign w:val="center"/>
          </w:tcPr>
          <w:p>
            <w:pPr>
              <w:spacing w:line="440" w:lineRule="exact"/>
              <w:jc w:val="center"/>
              <w:rPr>
                <w:rFonts w:eastAsia="仿宋_GB2312"/>
                <w:b/>
                <w:bCs/>
                <w:sz w:val="24"/>
                <w:szCs w:val="24"/>
                <w:lang w:val="en"/>
              </w:rPr>
            </w:pPr>
            <w:r>
              <w:rPr>
                <w:rFonts w:eastAsia="仿宋_GB2312"/>
                <w:b/>
                <w:bCs/>
                <w:sz w:val="24"/>
                <w:szCs w:val="24"/>
              </w:rPr>
              <w:t>主要完成人</w:t>
            </w:r>
          </w:p>
        </w:tc>
        <w:tc>
          <w:tcPr>
            <w:tcW w:w="7051" w:type="dxa"/>
            <w:vAlign w:val="center"/>
          </w:tcPr>
          <w:p>
            <w:pPr>
              <w:spacing w:before="156" w:beforeLines="50"/>
              <w:rPr>
                <w:rFonts w:asciiTheme="minorEastAsia" w:hAnsiTheme="minorEastAsia" w:eastAsiaTheme="minorEastAsia"/>
                <w:bCs/>
                <w:sz w:val="24"/>
                <w:szCs w:val="24"/>
              </w:rPr>
            </w:pPr>
            <w:r>
              <w:rPr>
                <w:rFonts w:hint="eastAsia" w:asciiTheme="minorEastAsia" w:hAnsiTheme="minorEastAsia" w:eastAsiaTheme="minorEastAsia"/>
                <w:bCs/>
                <w:sz w:val="24"/>
                <w:szCs w:val="24"/>
              </w:rPr>
              <w:t>姚玉华</w:t>
            </w:r>
            <w:r>
              <w:rPr>
                <w:rFonts w:asciiTheme="minorEastAsia" w:hAnsiTheme="minorEastAsia" w:eastAsiaTheme="minorEastAsia"/>
                <w:bCs/>
                <w:sz w:val="24"/>
                <w:szCs w:val="24"/>
              </w:rPr>
              <w:t>，排名1，</w:t>
            </w:r>
            <w:r>
              <w:rPr>
                <w:rFonts w:hint="eastAsia" w:asciiTheme="minorEastAsia" w:hAnsiTheme="minorEastAsia" w:eastAsiaTheme="minorEastAsia"/>
                <w:bCs/>
                <w:sz w:val="24"/>
                <w:szCs w:val="24"/>
              </w:rPr>
              <w:t>教授</w:t>
            </w:r>
            <w:r>
              <w:rPr>
                <w:rFonts w:asciiTheme="minorEastAsia" w:hAnsiTheme="minorEastAsia" w:eastAsiaTheme="minorEastAsia"/>
                <w:bCs/>
                <w:sz w:val="24"/>
                <w:szCs w:val="24"/>
              </w:rPr>
              <w:t>，</w:t>
            </w:r>
            <w:r>
              <w:rPr>
                <w:rFonts w:hint="eastAsia" w:asciiTheme="minorEastAsia" w:hAnsiTheme="minorEastAsia" w:eastAsiaTheme="minorEastAsia"/>
                <w:bCs/>
                <w:sz w:val="24"/>
                <w:szCs w:val="24"/>
              </w:rPr>
              <w:t>海南师范大学</w:t>
            </w:r>
            <w:r>
              <w:rPr>
                <w:rFonts w:asciiTheme="minorEastAsia" w:hAnsiTheme="minorEastAsia" w:eastAsiaTheme="minorEastAsia"/>
                <w:bCs/>
                <w:sz w:val="24"/>
                <w:szCs w:val="24"/>
              </w:rPr>
              <w:t>；</w:t>
            </w:r>
          </w:p>
          <w:p>
            <w:pPr>
              <w:rPr>
                <w:rFonts w:asciiTheme="minorEastAsia" w:hAnsiTheme="minorEastAsia" w:eastAsiaTheme="minorEastAsia"/>
                <w:bCs/>
                <w:sz w:val="24"/>
                <w:szCs w:val="24"/>
              </w:rPr>
            </w:pPr>
            <w:r>
              <w:rPr>
                <w:rFonts w:hint="eastAsia" w:asciiTheme="minorEastAsia" w:hAnsiTheme="minorEastAsia" w:eastAsiaTheme="minorEastAsia"/>
                <w:bCs/>
                <w:sz w:val="24"/>
                <w:szCs w:val="24"/>
              </w:rPr>
              <w:t xml:space="preserve">代 </w:t>
            </w:r>
            <w:r>
              <w:rPr>
                <w:rFonts w:asciiTheme="minorEastAsia" w:hAnsiTheme="minorEastAsia" w:eastAsiaTheme="minorEastAsia"/>
                <w:bCs/>
                <w:sz w:val="24"/>
                <w:szCs w:val="24"/>
              </w:rPr>
              <w:t xml:space="preserve"> </w:t>
            </w:r>
            <w:r>
              <w:rPr>
                <w:rFonts w:hint="eastAsia" w:asciiTheme="minorEastAsia" w:hAnsiTheme="minorEastAsia" w:eastAsiaTheme="minorEastAsia"/>
                <w:bCs/>
                <w:sz w:val="24"/>
                <w:szCs w:val="24"/>
              </w:rPr>
              <w:t>琦</w:t>
            </w:r>
            <w:r>
              <w:rPr>
                <w:rFonts w:asciiTheme="minorEastAsia" w:hAnsiTheme="minorEastAsia" w:eastAsiaTheme="minorEastAsia"/>
                <w:bCs/>
                <w:sz w:val="24"/>
                <w:szCs w:val="24"/>
              </w:rPr>
              <w:t>，排名2，</w:t>
            </w:r>
            <w:r>
              <w:rPr>
                <w:rFonts w:hint="eastAsia" w:asciiTheme="minorEastAsia" w:hAnsiTheme="minorEastAsia" w:eastAsiaTheme="minorEastAsia"/>
                <w:bCs/>
                <w:sz w:val="24"/>
                <w:szCs w:val="24"/>
              </w:rPr>
              <w:t>教授</w:t>
            </w:r>
            <w:r>
              <w:rPr>
                <w:rFonts w:asciiTheme="minorEastAsia" w:hAnsiTheme="minorEastAsia" w:eastAsiaTheme="minorEastAsia"/>
                <w:bCs/>
                <w:sz w:val="24"/>
                <w:szCs w:val="24"/>
              </w:rPr>
              <w:t>，</w:t>
            </w:r>
            <w:r>
              <w:rPr>
                <w:rFonts w:hint="eastAsia" w:asciiTheme="minorEastAsia" w:hAnsiTheme="minorEastAsia" w:eastAsiaTheme="minorEastAsia"/>
                <w:bCs/>
                <w:sz w:val="24"/>
                <w:szCs w:val="24"/>
              </w:rPr>
              <w:t>浙江理工大学</w:t>
            </w:r>
            <w:r>
              <w:rPr>
                <w:rFonts w:asciiTheme="minorEastAsia" w:hAnsiTheme="minorEastAsia" w:eastAsiaTheme="minorEastAsia"/>
                <w:bCs/>
                <w:sz w:val="24"/>
                <w:szCs w:val="24"/>
              </w:rPr>
              <w:t>；</w:t>
            </w:r>
          </w:p>
          <w:p>
            <w:pPr>
              <w:rPr>
                <w:rFonts w:asciiTheme="minorEastAsia" w:hAnsiTheme="minorEastAsia" w:eastAsiaTheme="minorEastAsia"/>
                <w:bCs/>
                <w:sz w:val="24"/>
                <w:szCs w:val="24"/>
              </w:rPr>
            </w:pPr>
            <w:r>
              <w:rPr>
                <w:rFonts w:hint="eastAsia" w:asciiTheme="minorEastAsia" w:hAnsiTheme="minorEastAsia" w:eastAsiaTheme="minorEastAsia"/>
                <w:bCs/>
                <w:sz w:val="24"/>
                <w:szCs w:val="24"/>
              </w:rPr>
              <w:t>杨家亮</w:t>
            </w:r>
            <w:r>
              <w:rPr>
                <w:rFonts w:asciiTheme="minorEastAsia" w:hAnsiTheme="minorEastAsia" w:eastAsiaTheme="minorEastAsia"/>
                <w:bCs/>
                <w:sz w:val="24"/>
                <w:szCs w:val="24"/>
              </w:rPr>
              <w:t>，排名3，</w:t>
            </w:r>
            <w:r>
              <w:rPr>
                <w:rFonts w:hint="eastAsia" w:asciiTheme="minorEastAsia" w:hAnsiTheme="minorEastAsia" w:eastAsiaTheme="minorEastAsia"/>
                <w:bCs/>
                <w:sz w:val="24"/>
                <w:szCs w:val="24"/>
              </w:rPr>
              <w:t>助理研究员</w:t>
            </w:r>
            <w:r>
              <w:rPr>
                <w:rFonts w:asciiTheme="minorEastAsia" w:hAnsiTheme="minorEastAsia" w:eastAsiaTheme="minorEastAsia"/>
                <w:bCs/>
                <w:sz w:val="24"/>
                <w:szCs w:val="24"/>
              </w:rPr>
              <w:t>，</w:t>
            </w:r>
            <w:r>
              <w:rPr>
                <w:rFonts w:hint="eastAsia" w:asciiTheme="minorEastAsia" w:hAnsiTheme="minorEastAsia" w:eastAsiaTheme="minorEastAsia"/>
                <w:bCs/>
                <w:sz w:val="24"/>
                <w:szCs w:val="24"/>
              </w:rPr>
              <w:t>海南师范大学</w:t>
            </w:r>
            <w:r>
              <w:rPr>
                <w:rFonts w:asciiTheme="minorEastAsia" w:hAnsiTheme="minorEastAsia" w:eastAsiaTheme="minorEastAsia"/>
                <w:bCs/>
                <w:sz w:val="24"/>
                <w:szCs w:val="24"/>
              </w:rPr>
              <w:t>；</w:t>
            </w:r>
          </w:p>
          <w:p>
            <w:pPr>
              <w:adjustRightInd w:val="0"/>
              <w:snapToGrid w:val="0"/>
              <w:spacing w:after="156" w:afterLines="50"/>
              <w:rPr>
                <w:rFonts w:asciiTheme="minorEastAsia" w:hAnsiTheme="minorEastAsia" w:eastAsiaTheme="minorEastAsia"/>
                <w:bCs/>
                <w:sz w:val="24"/>
                <w:szCs w:val="24"/>
              </w:rPr>
            </w:pPr>
            <w:r>
              <w:rPr>
                <w:rFonts w:hint="eastAsia" w:asciiTheme="minorEastAsia" w:hAnsiTheme="minorEastAsia" w:eastAsiaTheme="minorEastAsia"/>
                <w:bCs/>
                <w:sz w:val="24"/>
                <w:szCs w:val="24"/>
              </w:rPr>
              <w:t>贺平安</w:t>
            </w:r>
            <w:r>
              <w:rPr>
                <w:rFonts w:asciiTheme="minorEastAsia" w:hAnsiTheme="minorEastAsia" w:eastAsiaTheme="minorEastAsia"/>
                <w:bCs/>
                <w:sz w:val="24"/>
                <w:szCs w:val="24"/>
              </w:rPr>
              <w:t>，排名4，</w:t>
            </w:r>
            <w:r>
              <w:rPr>
                <w:rFonts w:hint="eastAsia" w:asciiTheme="minorEastAsia" w:hAnsiTheme="minorEastAsia" w:eastAsiaTheme="minorEastAsia"/>
                <w:bCs/>
                <w:sz w:val="24"/>
                <w:szCs w:val="24"/>
              </w:rPr>
              <w:t>教授</w:t>
            </w:r>
            <w:r>
              <w:rPr>
                <w:rFonts w:asciiTheme="minorEastAsia" w:hAnsiTheme="minorEastAsia" w:eastAsiaTheme="minorEastAsia"/>
                <w:bCs/>
                <w:sz w:val="24"/>
                <w:szCs w:val="24"/>
              </w:rPr>
              <w:t>，</w:t>
            </w:r>
            <w:r>
              <w:rPr>
                <w:rFonts w:hint="eastAsia" w:asciiTheme="minorEastAsia" w:hAnsiTheme="minorEastAsia" w:eastAsiaTheme="minorEastAsia"/>
                <w:bCs/>
                <w:sz w:val="24"/>
                <w:szCs w:val="24"/>
              </w:rPr>
              <w:t>浙江理工大学.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8" w:hRule="atLeast"/>
          <w:jc w:val="center"/>
        </w:trPr>
        <w:tc>
          <w:tcPr>
            <w:tcW w:w="2269" w:type="dxa"/>
            <w:vAlign w:val="center"/>
          </w:tcPr>
          <w:p>
            <w:pPr>
              <w:spacing w:line="440" w:lineRule="exact"/>
              <w:jc w:val="center"/>
              <w:rPr>
                <w:rFonts w:eastAsia="仿宋_GB2312"/>
                <w:b/>
                <w:bCs/>
                <w:sz w:val="24"/>
                <w:szCs w:val="24"/>
              </w:rPr>
            </w:pPr>
            <w:r>
              <w:rPr>
                <w:rFonts w:eastAsia="仿宋_GB2312"/>
                <w:b/>
                <w:bCs/>
                <w:sz w:val="24"/>
                <w:szCs w:val="24"/>
              </w:rPr>
              <w:t>主要完成单位</w:t>
            </w:r>
          </w:p>
        </w:tc>
        <w:tc>
          <w:tcPr>
            <w:tcW w:w="7051" w:type="dxa"/>
            <w:vAlign w:val="center"/>
          </w:tcPr>
          <w:p>
            <w:pPr>
              <w:spacing w:line="440" w:lineRule="exact"/>
              <w:jc w:val="left"/>
              <w:rPr>
                <w:rFonts w:asciiTheme="minorEastAsia" w:hAnsiTheme="minorEastAsia" w:eastAsiaTheme="minorEastAsia"/>
                <w:bCs/>
                <w:sz w:val="24"/>
                <w:szCs w:val="24"/>
              </w:rPr>
            </w:pPr>
            <w:r>
              <w:rPr>
                <w:rFonts w:asciiTheme="minorEastAsia" w:hAnsiTheme="minorEastAsia" w:eastAsiaTheme="minorEastAsia"/>
                <w:bCs/>
                <w:sz w:val="24"/>
                <w:szCs w:val="24"/>
              </w:rPr>
              <w:t>1.</w:t>
            </w:r>
            <w:r>
              <w:rPr>
                <w:rFonts w:hint="eastAsia" w:asciiTheme="minorEastAsia" w:hAnsiTheme="minorEastAsia" w:eastAsiaTheme="minorEastAsia"/>
                <w:bCs/>
                <w:sz w:val="24"/>
                <w:szCs w:val="24"/>
              </w:rPr>
              <w:t xml:space="preserve"> 海南师范大学</w:t>
            </w:r>
          </w:p>
          <w:p>
            <w:pPr>
              <w:spacing w:line="440" w:lineRule="exact"/>
              <w:jc w:val="left"/>
              <w:rPr>
                <w:rFonts w:eastAsia="仿宋_GB2312"/>
                <w:bCs/>
                <w:sz w:val="24"/>
                <w:szCs w:val="24"/>
              </w:rPr>
            </w:pPr>
            <w:r>
              <w:rPr>
                <w:rFonts w:asciiTheme="minorEastAsia" w:hAnsiTheme="minorEastAsia" w:eastAsiaTheme="minorEastAsia"/>
                <w:bCs/>
                <w:sz w:val="24"/>
                <w:szCs w:val="24"/>
              </w:rPr>
              <w:t>2.</w:t>
            </w:r>
            <w:r>
              <w:rPr>
                <w:rFonts w:hint="eastAsia" w:asciiTheme="minorEastAsia" w:hAnsiTheme="minorEastAsia" w:eastAsiaTheme="minorEastAsia"/>
                <w:bCs/>
                <w:sz w:val="24"/>
                <w:szCs w:val="24"/>
              </w:rPr>
              <w:t xml:space="preserve"> 浙江理工大学</w:t>
            </w:r>
          </w:p>
        </w:tc>
      </w:tr>
    </w:tbl>
    <w:p>
      <w:r>
        <w:rPr>
          <w:rFonts w:hint="eastAsia" w:ascii="仿宋_GB2312" w:hAnsi="仿宋_GB2312" w:eastAsia="仿宋_GB2312" w:cs="仿宋_GB2312"/>
          <w:sz w:val="24"/>
          <w:szCs w:val="24"/>
        </w:rPr>
        <w:t>说明：国际科学技术合作奖可不用公示，其余奖项必须公示</w:t>
      </w:r>
      <w:r>
        <w:rPr>
          <w:rFonts w:hint="eastAsia" w:ascii="仿宋_GB2312" w:hAnsi="仿宋_GB2312" w:eastAsia="仿宋_GB2312" w:cs="仿宋_GB2312"/>
          <w:b/>
          <w:bCs/>
          <w:sz w:val="24"/>
          <w:szCs w:val="24"/>
        </w:rPr>
        <w:t>至少7个</w:t>
      </w:r>
      <w:r>
        <w:rPr>
          <w:rFonts w:hint="eastAsia" w:ascii="仿宋_GB2312" w:hAnsi="仿宋_GB2312" w:eastAsia="仿宋_GB2312" w:cs="仿宋_GB2312"/>
          <w:b/>
          <w:bCs/>
          <w:sz w:val="24"/>
          <w:szCs w:val="24"/>
          <w:u w:val="wavyHeavy"/>
        </w:rPr>
        <w:t>工作日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DB3543"/>
    <w:multiLevelType w:val="multilevel"/>
    <w:tmpl w:val="50DB3543"/>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iMDRlNDM4Mzk3ODkwOGZlMzdmMTQyMjIyODI1ZDkifQ=="/>
    <w:docVar w:name="KSO_WPS_MARK_KEY" w:val="1bf3bffd-51d7-42a4-b62f-397cde640774"/>
  </w:docVars>
  <w:rsids>
    <w:rsidRoot w:val="00D642CA"/>
    <w:rsid w:val="000277C6"/>
    <w:rsid w:val="00073439"/>
    <w:rsid w:val="000A7084"/>
    <w:rsid w:val="00125834"/>
    <w:rsid w:val="00190686"/>
    <w:rsid w:val="001F019D"/>
    <w:rsid w:val="001F2E69"/>
    <w:rsid w:val="00285B69"/>
    <w:rsid w:val="002A24AF"/>
    <w:rsid w:val="002A4DCD"/>
    <w:rsid w:val="00323324"/>
    <w:rsid w:val="003276CF"/>
    <w:rsid w:val="00336EAA"/>
    <w:rsid w:val="0037086D"/>
    <w:rsid w:val="003B4C52"/>
    <w:rsid w:val="003D7570"/>
    <w:rsid w:val="00481BBB"/>
    <w:rsid w:val="004922B9"/>
    <w:rsid w:val="00521709"/>
    <w:rsid w:val="00596E9E"/>
    <w:rsid w:val="005C7862"/>
    <w:rsid w:val="005D4ADA"/>
    <w:rsid w:val="006227ED"/>
    <w:rsid w:val="00636468"/>
    <w:rsid w:val="006A1A1C"/>
    <w:rsid w:val="006C1FC7"/>
    <w:rsid w:val="006C38D5"/>
    <w:rsid w:val="006E4D62"/>
    <w:rsid w:val="00783A8E"/>
    <w:rsid w:val="00792815"/>
    <w:rsid w:val="00805047"/>
    <w:rsid w:val="0081280F"/>
    <w:rsid w:val="008560F1"/>
    <w:rsid w:val="0087437B"/>
    <w:rsid w:val="008A0801"/>
    <w:rsid w:val="008B3B5A"/>
    <w:rsid w:val="008C5C9D"/>
    <w:rsid w:val="008E29D9"/>
    <w:rsid w:val="0093322E"/>
    <w:rsid w:val="00967E69"/>
    <w:rsid w:val="009B4FDF"/>
    <w:rsid w:val="009B79A9"/>
    <w:rsid w:val="00A20138"/>
    <w:rsid w:val="00A35480"/>
    <w:rsid w:val="00AC71C6"/>
    <w:rsid w:val="00B07250"/>
    <w:rsid w:val="00B44A63"/>
    <w:rsid w:val="00B73B42"/>
    <w:rsid w:val="00BB312C"/>
    <w:rsid w:val="00C0796E"/>
    <w:rsid w:val="00C17DAF"/>
    <w:rsid w:val="00C6086A"/>
    <w:rsid w:val="00C75E22"/>
    <w:rsid w:val="00C82148"/>
    <w:rsid w:val="00C94454"/>
    <w:rsid w:val="00CA07CA"/>
    <w:rsid w:val="00CA33EE"/>
    <w:rsid w:val="00CD0CD0"/>
    <w:rsid w:val="00D642CA"/>
    <w:rsid w:val="00E2622B"/>
    <w:rsid w:val="00E52F03"/>
    <w:rsid w:val="00E66721"/>
    <w:rsid w:val="00E74DFD"/>
    <w:rsid w:val="00E90BC8"/>
    <w:rsid w:val="00EB15DC"/>
    <w:rsid w:val="00F155A8"/>
    <w:rsid w:val="00F40644"/>
    <w:rsid w:val="00FC527A"/>
    <w:rsid w:val="08B94764"/>
    <w:rsid w:val="157C3211"/>
    <w:rsid w:val="40177A54"/>
    <w:rsid w:val="53AE6093"/>
    <w:rsid w:val="61F16800"/>
    <w:rsid w:val="7F7417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title1"/>
    <w:qFormat/>
    <w:uiPriority w:val="0"/>
    <w:rPr>
      <w:b/>
      <w:bCs/>
      <w:color w:val="999900"/>
      <w:sz w:val="24"/>
      <w:szCs w:val="24"/>
    </w:rPr>
  </w:style>
  <w:style w:type="character" w:customStyle="1" w:styleId="8">
    <w:name w:val="页眉 字符"/>
    <w:basedOn w:val="6"/>
    <w:link w:val="4"/>
    <w:qFormat/>
    <w:uiPriority w:val="0"/>
    <w:rPr>
      <w:rFonts w:ascii="Times New Roman" w:hAnsi="Times New Roman" w:eastAsia="宋体" w:cs="Times New Roman"/>
      <w:kern w:val="2"/>
      <w:sz w:val="18"/>
      <w:szCs w:val="18"/>
    </w:rPr>
  </w:style>
  <w:style w:type="character" w:customStyle="1" w:styleId="9">
    <w:name w:val="页脚 字符"/>
    <w:basedOn w:val="6"/>
    <w:link w:val="3"/>
    <w:qFormat/>
    <w:uiPriority w:val="0"/>
    <w:rPr>
      <w:rFonts w:ascii="Times New Roman" w:hAnsi="Times New Roman" w:eastAsia="宋体" w:cs="Times New Roman"/>
      <w:kern w:val="2"/>
      <w:sz w:val="18"/>
      <w:szCs w:val="18"/>
    </w:rPr>
  </w:style>
  <w:style w:type="paragraph" w:styleId="10">
    <w:name w:val="List Paragraph"/>
    <w:basedOn w:val="1"/>
    <w:qFormat/>
    <w:uiPriority w:val="99"/>
    <w:pPr>
      <w:ind w:firstLine="420" w:firstLineChars="200"/>
    </w:pPr>
    <w:rPr>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1947</Words>
  <Characters>3432</Characters>
  <Lines>87</Lines>
  <Paragraphs>45</Paragraphs>
  <TotalTime>29</TotalTime>
  <ScaleCrop>false</ScaleCrop>
  <LinksUpToDate>false</LinksUpToDate>
  <CharactersWithSpaces>3728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2024-01-04T02:33:00Z</dcterms:created>
  <dc:creator>lenovo</dc:creator>
  <cp:lastModifiedBy>借山而居</cp:lastModifiedBy>
  <dcterms:modified xsi:type="dcterms:W3CDTF">2024-01-08T06:43:44Z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C8D47EEF2E264E81B49293776526E752_12</vt:lpwstr>
  </property>
</Properties>
</file>