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 w:lineRule="exact"/>
        <w:jc w:val="center"/>
        <w:rPr>
          <w:rFonts w:ascii="宋体" w:hAnsi="宋体"/>
          <w:sz w:val="36"/>
          <w:szCs w:val="36"/>
        </w:rPr>
      </w:pPr>
      <w:bookmarkStart w:id="0" w:name="_Toc530473016"/>
    </w:p>
    <w:bookmarkEnd w:id="0"/>
    <w:p>
      <w:pPr>
        <w:spacing w:line="740" w:lineRule="exact"/>
        <w:jc w:val="center"/>
        <w:outlineLvl w:val="2"/>
        <w:rPr>
          <w:rFonts w:ascii="黑体" w:hAnsi="黑体" w:eastAsia="黑体" w:cs="黑体"/>
          <w:sz w:val="32"/>
          <w:szCs w:val="32"/>
        </w:rPr>
      </w:pPr>
      <w:bookmarkStart w:id="1" w:name="_Toc357348418"/>
      <w:bookmarkStart w:id="2" w:name="_Toc2131911538"/>
      <w:bookmarkStart w:id="3" w:name="_Toc1550903188"/>
      <w:bookmarkStart w:id="4" w:name="_Toc1827832502"/>
      <w:bookmarkStart w:id="5" w:name="_Toc2124023149"/>
      <w:bookmarkStart w:id="6" w:name="_Toc175603519"/>
      <w:bookmarkStart w:id="7" w:name="_Toc1099067205"/>
      <w:bookmarkStart w:id="8" w:name="_Toc1423068732"/>
      <w:r>
        <w:rPr>
          <w:rFonts w:hint="eastAsia" w:ascii="黑体" w:hAnsi="黑体" w:eastAsia="黑体" w:cs="黑体"/>
          <w:sz w:val="32"/>
          <w:szCs w:val="32"/>
        </w:rPr>
        <w:t>2023年度海南省科学技术奖提名公示内容</w:t>
      </w:r>
      <w:bookmarkEnd w:id="1"/>
      <w:bookmarkEnd w:id="2"/>
      <w:bookmarkEnd w:id="3"/>
      <w:bookmarkEnd w:id="4"/>
      <w:bookmarkEnd w:id="5"/>
      <w:bookmarkEnd w:id="6"/>
      <w:bookmarkEnd w:id="7"/>
      <w:bookmarkEnd w:id="8"/>
    </w:p>
    <w:p>
      <w:pPr>
        <w:spacing w:line="100" w:lineRule="exact"/>
        <w:jc w:val="center"/>
        <w:rPr>
          <w:rFonts w:ascii="仿宋_GB2312" w:hAnsi="仿宋_GB2312" w:eastAsia="仿宋_GB2312" w:cs="仿宋_GB2312"/>
          <w:sz w:val="32"/>
          <w:szCs w:val="32"/>
        </w:rPr>
      </w:pPr>
    </w:p>
    <w:p>
      <w:pPr>
        <w:spacing w:line="440" w:lineRule="exact"/>
        <w:jc w:val="center"/>
        <w:rPr>
          <w:rFonts w:hint="eastAsia" w:eastAsia="仿宋_GB2312"/>
          <w:szCs w:val="24"/>
        </w:rPr>
      </w:pPr>
      <w:r>
        <w:rPr>
          <w:rFonts w:hint="eastAsia" w:eastAsia="仿宋_GB2312"/>
          <w:szCs w:val="24"/>
        </w:rPr>
        <w:t>（适用于项目主要完成单位、主要完成人所在单位）</w:t>
      </w:r>
    </w:p>
    <w:p>
      <w:pPr>
        <w:pStyle w:val="2"/>
      </w:pPr>
      <w:bookmarkStart w:id="10" w:name="_GoBack"/>
      <w:bookmarkEnd w:id="10"/>
    </w:p>
    <w:tbl>
      <w:tblPr>
        <w:tblStyle w:val="6"/>
        <w:tblW w:w="9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2269" w:type="dxa"/>
            <w:vAlign w:val="center"/>
          </w:tcPr>
          <w:p>
            <w:pPr>
              <w:jc w:val="center"/>
              <w:rPr>
                <w:rStyle w:val="8"/>
                <w:rFonts w:eastAsia="仿宋_GB2312"/>
                <w:color w:val="auto"/>
              </w:rPr>
            </w:pPr>
            <w:r>
              <w:rPr>
                <w:rStyle w:val="8"/>
                <w:rFonts w:hint="eastAsia" w:eastAsia="仿宋_GB2312"/>
                <w:color w:val="auto"/>
              </w:rPr>
              <w:t>项目</w:t>
            </w:r>
            <w:r>
              <w:rPr>
                <w:rStyle w:val="8"/>
                <w:rFonts w:eastAsia="仿宋_GB2312"/>
                <w:color w:val="auto"/>
              </w:rPr>
              <w:t>名称</w:t>
            </w:r>
          </w:p>
        </w:tc>
        <w:tc>
          <w:tcPr>
            <w:tcW w:w="7051" w:type="dxa"/>
            <w:vAlign w:val="center"/>
          </w:tcPr>
          <w:p>
            <w:pPr>
              <w:jc w:val="center"/>
              <w:rPr>
                <w:rStyle w:val="8"/>
                <w:rFonts w:eastAsia="仿宋_GB2312"/>
                <w:b w:val="0"/>
                <w:color w:val="auto"/>
                <w:szCs w:val="22"/>
              </w:rPr>
            </w:pPr>
            <w:r>
              <w:rPr>
                <w:rStyle w:val="8"/>
                <w:rFonts w:hint="eastAsia" w:eastAsia="仿宋_GB2312"/>
                <w:b w:val="0"/>
                <w:color w:val="auto"/>
                <w:szCs w:val="22"/>
              </w:rPr>
              <w:t>冷原子系统中激发和关联的光学操控及应用研究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2269" w:type="dxa"/>
            <w:vAlign w:val="center"/>
          </w:tcPr>
          <w:p>
            <w:pPr>
              <w:jc w:val="center"/>
              <w:rPr>
                <w:rStyle w:val="8"/>
                <w:rFonts w:eastAsia="仿宋_GB2312"/>
                <w:color w:val="auto"/>
              </w:rPr>
            </w:pPr>
            <w:r>
              <w:rPr>
                <w:rStyle w:val="8"/>
                <w:rFonts w:eastAsia="仿宋_GB2312"/>
                <w:color w:val="auto"/>
              </w:rPr>
              <w:t>提名</w:t>
            </w:r>
            <w:r>
              <w:rPr>
                <w:rStyle w:val="8"/>
                <w:rFonts w:hint="eastAsia" w:eastAsia="仿宋_GB2312"/>
                <w:color w:val="auto"/>
              </w:rPr>
              <w:t>奖项/</w:t>
            </w:r>
            <w:r>
              <w:rPr>
                <w:rStyle w:val="8"/>
                <w:rFonts w:eastAsia="仿宋_GB2312"/>
                <w:color w:val="auto"/>
              </w:rPr>
              <w:t>等级</w:t>
            </w:r>
          </w:p>
        </w:tc>
        <w:tc>
          <w:tcPr>
            <w:tcW w:w="7051" w:type="dxa"/>
            <w:vAlign w:val="center"/>
          </w:tcPr>
          <w:p>
            <w:pPr>
              <w:jc w:val="center"/>
              <w:rPr>
                <w:rStyle w:val="8"/>
                <w:rFonts w:eastAsia="仿宋_GB2312"/>
                <w:b w:val="0"/>
                <w:color w:val="auto"/>
                <w:szCs w:val="22"/>
              </w:rPr>
            </w:pPr>
            <w:r>
              <w:rPr>
                <w:rFonts w:eastAsia="仿宋_GB2312"/>
                <w:bCs/>
                <w:sz w:val="24"/>
                <w:szCs w:val="22"/>
              </w:rPr>
              <w:t>自然科学奖</w:t>
            </w:r>
            <w:r>
              <w:rPr>
                <w:rFonts w:hint="eastAsia" w:eastAsia="仿宋_GB2312"/>
                <w:bCs/>
                <w:sz w:val="24"/>
                <w:szCs w:val="22"/>
              </w:rPr>
              <w:t>二</w:t>
            </w:r>
            <w:r>
              <w:rPr>
                <w:rFonts w:hint="eastAsia" w:eastAsia="仿宋_GB2312"/>
                <w:sz w:val="24"/>
                <w:szCs w:val="22"/>
              </w:rPr>
              <w:t>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1" w:hRule="atLeast"/>
          <w:jc w:val="center"/>
        </w:trPr>
        <w:tc>
          <w:tcPr>
            <w:tcW w:w="2269" w:type="dxa"/>
            <w:vAlign w:val="center"/>
          </w:tcPr>
          <w:p>
            <w:pPr>
              <w:jc w:val="center"/>
              <w:rPr>
                <w:rFonts w:eastAsia="仿宋_GB2312"/>
                <w:b/>
                <w:bCs/>
                <w:sz w:val="24"/>
                <w:szCs w:val="24"/>
              </w:rPr>
            </w:pPr>
            <w:r>
              <w:rPr>
                <w:rStyle w:val="8"/>
                <w:rFonts w:eastAsia="仿宋_GB2312"/>
                <w:color w:val="auto"/>
              </w:rPr>
              <w:t>提名单位/提名专家</w:t>
            </w:r>
          </w:p>
        </w:tc>
        <w:tc>
          <w:tcPr>
            <w:tcW w:w="7051" w:type="dxa"/>
            <w:vAlign w:val="center"/>
          </w:tcPr>
          <w:p>
            <w:pPr>
              <w:jc w:val="center"/>
              <w:rPr>
                <w:szCs w:val="28"/>
              </w:rPr>
            </w:pPr>
            <w:r>
              <w:rPr>
                <w:rFonts w:hint="eastAsia" w:eastAsia="仿宋_GB2312"/>
                <w:bCs/>
                <w:sz w:val="24"/>
                <w:szCs w:val="22"/>
              </w:rPr>
              <w:t>海南省科学技术协会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2269" w:type="dxa"/>
            <w:vAlign w:val="center"/>
          </w:tcPr>
          <w:p>
            <w:pPr>
              <w:jc w:val="center"/>
              <w:rPr>
                <w:rFonts w:eastAsia="仿宋_GB2312"/>
                <w:b/>
                <w:bCs/>
                <w:sz w:val="24"/>
                <w:szCs w:val="24"/>
              </w:rPr>
            </w:pPr>
            <w:r>
              <w:rPr>
                <w:rStyle w:val="8"/>
                <w:rFonts w:eastAsia="仿宋_GB2312"/>
                <w:color w:val="auto"/>
              </w:rPr>
              <w:t>提名意见</w:t>
            </w:r>
          </w:p>
        </w:tc>
        <w:tc>
          <w:tcPr>
            <w:tcW w:w="7051" w:type="dxa"/>
            <w:vAlign w:val="center"/>
          </w:tcPr>
          <w:p>
            <w:pPr>
              <w:spacing w:line="440" w:lineRule="exact"/>
              <w:ind w:firstLine="480" w:firstLineChars="200"/>
              <w:jc w:val="left"/>
              <w:rPr>
                <w:rFonts w:eastAsia="仿宋_GB2312"/>
                <w:bCs/>
                <w:sz w:val="24"/>
                <w:szCs w:val="24"/>
              </w:rPr>
            </w:pPr>
            <w:r>
              <w:rPr>
                <w:rFonts w:hint="eastAsia" w:eastAsia="仿宋_GB2312"/>
                <w:bCs/>
                <w:sz w:val="24"/>
                <w:szCs w:val="24"/>
              </w:rPr>
              <w:t>该项目重点研究冷原子的相干激发操控和量子纠缠等量子关联问题，同时聚焦在量子信息方面的实际应用。符合国家中长期科技发展计划，助力未来占领科技制高点。</w:t>
            </w:r>
          </w:p>
          <w:p>
            <w:pPr>
              <w:spacing w:line="440" w:lineRule="exact"/>
              <w:ind w:firstLine="480" w:firstLineChars="200"/>
              <w:jc w:val="left"/>
              <w:rPr>
                <w:rFonts w:eastAsia="仿宋_GB2312"/>
                <w:bCs/>
                <w:sz w:val="24"/>
                <w:szCs w:val="24"/>
              </w:rPr>
            </w:pPr>
            <w:r>
              <w:rPr>
                <w:rFonts w:hint="eastAsia" w:eastAsia="仿宋_GB2312"/>
                <w:bCs/>
                <w:sz w:val="24"/>
                <w:szCs w:val="24"/>
              </w:rPr>
              <w:t>该项目主要考察里德堡原子和普通的独立原子。对于里德堡原子，主要涉及与单光子行为相关的合作光学非线性特性研究，量子纠缠的制备和纠缠远程动态控制纠缠。将里德堡原子与量子光力学兼容起来，实现单光子水平的光力学操控，这样原子内态的激发与超精密测量有机地融合在一起。对于独立原子系统，利用电磁感应透明技术，实现对激光场无吸收传播的灵活、精准调控。在此基础上，引入光晶格的周期性物理机制，并从实验角度考虑了晶格中原子布局涨落的无序性实现鲁棒性强的多色光子流操控，能够有效实现全光路由网络。</w:t>
            </w:r>
          </w:p>
          <w:p>
            <w:pPr>
              <w:spacing w:line="440" w:lineRule="exact"/>
              <w:ind w:firstLine="480" w:firstLineChars="200"/>
              <w:jc w:val="left"/>
              <w:rPr>
                <w:rFonts w:eastAsia="仿宋_GB2312"/>
                <w:bCs/>
                <w:sz w:val="24"/>
                <w:szCs w:val="24"/>
              </w:rPr>
            </w:pPr>
            <w:r>
              <w:rPr>
                <w:rFonts w:hint="eastAsia" w:eastAsia="仿宋_GB2312"/>
                <w:bCs/>
                <w:sz w:val="24"/>
                <w:szCs w:val="24"/>
              </w:rPr>
              <w:t>具体的科学发现点有四部分。一、基于里德堡原子的合作光学非线性，实现完美可靠单光子源。二、激发原子内态，实现更多自由度更有效的光力相干操纵。三、以里德堡原子为物理平台，制备鲁棒性强的高保真度原子纠缠，同时能够用纠缠的原子对远程操控另一对原子的纠缠。四、在独立原子中，基于相干电磁感应透明，能够利用强耦合激光场操控一个弱探测激光场传播的吸收、透射等特性。捕获在一维无序光晶格中的冷原子，出现在电磁感应透明窗口的反射、透射光具有很强的鲁棒性，对原子布居涨落是免疫的。</w:t>
            </w:r>
          </w:p>
          <w:p>
            <w:pPr>
              <w:spacing w:line="440" w:lineRule="exact"/>
              <w:ind w:firstLine="480" w:firstLineChars="200"/>
              <w:jc w:val="left"/>
              <w:rPr>
                <w:rFonts w:eastAsia="仿宋_GB2312"/>
                <w:bCs/>
                <w:sz w:val="24"/>
                <w:szCs w:val="24"/>
              </w:rPr>
            </w:pPr>
            <w:r>
              <w:rPr>
                <w:rFonts w:hint="eastAsia" w:eastAsia="仿宋_GB2312"/>
                <w:bCs/>
                <w:sz w:val="24"/>
                <w:szCs w:val="24"/>
              </w:rPr>
              <w:t>这些结果得到了国、内外同行的引用与认可，被世界顶级物理学期刊“Physical Review Letters”等正面引用。在项目期内我们获得4项基金的资助，其中3项国家自然科学基金，1项海南省自然科学基金。发表相关文献30余篇，代表性论文中6篇发表在国际权威物理学期刊“Physical Review A”上，1篇发表在“Optics Express”上。</w:t>
            </w:r>
          </w:p>
          <w:p>
            <w:pPr>
              <w:spacing w:line="440" w:lineRule="exact"/>
              <w:ind w:firstLine="480" w:firstLineChars="200"/>
              <w:jc w:val="left"/>
            </w:pPr>
            <w:r>
              <w:rPr>
                <w:rFonts w:eastAsia="仿宋_GB2312"/>
                <w:bCs/>
                <w:sz w:val="24"/>
                <w:szCs w:val="24"/>
              </w:rPr>
              <w:t>本项成果推荐书符合申报要求，特提名该项目申请</w:t>
            </w:r>
            <w:r>
              <w:rPr>
                <w:rFonts w:hint="eastAsia" w:eastAsia="仿宋_GB2312"/>
                <w:bCs/>
                <w:sz w:val="24"/>
                <w:szCs w:val="24"/>
              </w:rPr>
              <w:t>2023年度</w:t>
            </w:r>
            <w:r>
              <w:rPr>
                <w:rFonts w:eastAsia="仿宋_GB2312"/>
                <w:bCs/>
                <w:sz w:val="24"/>
                <w:szCs w:val="24"/>
              </w:rPr>
              <w:t>海南省自然科学奖二等奖。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2269" w:type="dxa"/>
            <w:tcBorders>
              <w:right w:val="single" w:color="auto" w:sz="4" w:space="0"/>
            </w:tcBorders>
            <w:vAlign w:val="center"/>
          </w:tcPr>
          <w:p>
            <w:pPr>
              <w:spacing w:line="440" w:lineRule="exact"/>
              <w:jc w:val="center"/>
              <w:rPr>
                <w:rFonts w:eastAsia="仿宋_GB2312"/>
                <w:b/>
                <w:bCs/>
                <w:sz w:val="24"/>
                <w:szCs w:val="24"/>
              </w:rPr>
            </w:pPr>
            <w:r>
              <w:rPr>
                <w:rFonts w:hint="eastAsia" w:eastAsia="仿宋_GB2312"/>
                <w:b/>
                <w:bCs/>
                <w:sz w:val="24"/>
                <w:szCs w:val="24"/>
              </w:rPr>
              <w:t>项目简介</w:t>
            </w:r>
          </w:p>
        </w:tc>
        <w:tc>
          <w:tcPr>
            <w:tcW w:w="7051" w:type="dxa"/>
            <w:tcBorders>
              <w:left w:val="single" w:color="auto" w:sz="4" w:space="0"/>
            </w:tcBorders>
            <w:vAlign w:val="center"/>
          </w:tcPr>
          <w:p>
            <w:pPr>
              <w:spacing w:line="440" w:lineRule="exact"/>
              <w:ind w:firstLine="480" w:firstLineChars="200"/>
              <w:jc w:val="left"/>
              <w:rPr>
                <w:rFonts w:eastAsia="仿宋_GB2312"/>
                <w:bCs/>
                <w:sz w:val="24"/>
                <w:szCs w:val="24"/>
              </w:rPr>
            </w:pPr>
            <w:r>
              <w:rPr>
                <w:rFonts w:hint="eastAsia" w:eastAsia="仿宋_GB2312"/>
                <w:bCs/>
                <w:sz w:val="24"/>
                <w:szCs w:val="24"/>
              </w:rPr>
              <w:t>随着激光冷却与俘获技术的成熟与广泛应用，相干可操控的冷原子物理平台在量子信息和量子光学领域大放异彩，大大推动着量子信息技术的发展和商用化。在凸显量子优越性的层面上，已经从自然科学领域和社会领域掀起新的科技革命浪潮，并且这股洪流势不可挡，在国家战略层面上已经将其列入中长期科技发展计划，成为占领未来科技制高点的关键。</w:t>
            </w:r>
          </w:p>
          <w:p>
            <w:pPr>
              <w:spacing w:line="440" w:lineRule="exact"/>
              <w:ind w:firstLine="480" w:firstLineChars="200"/>
              <w:jc w:val="left"/>
              <w:rPr>
                <w:rFonts w:eastAsia="仿宋_GB2312"/>
                <w:bCs/>
                <w:sz w:val="24"/>
                <w:szCs w:val="24"/>
              </w:rPr>
            </w:pPr>
            <w:r>
              <w:rPr>
                <w:rFonts w:hint="eastAsia" w:eastAsia="仿宋_GB2312"/>
                <w:bCs/>
                <w:sz w:val="24"/>
                <w:szCs w:val="24"/>
              </w:rPr>
              <w:t>本项目重点研究冷原子的相干激发操控和量子纠缠等量子关联问题，因为聚焦在量子信息和量子光学中的实际应用，所以理论模型和实验方案均采用实际的实验参数。从原子间是否有相互作用角度分类，可以分为两类，一类是存在强烈相互作用的原子，例如里德堡原子，另外一类是没有相互作用的独立原子。对于里德堡原子，主要涉及与单光子行为相关的合作光学非线性特性研究，量子纠缠的制备和纠缠远程动态控制纠缠。特别地，将里德堡原子与量子光力学兼容起来，实现单光子水平的光力学操控，这样原子内态的激发与超精密测量有机地融合在一起。对于独立原子系统，利用电磁感应透明技术，实现对激光场无吸收传播的灵活、精准调控。在此基础上，引入光晶格的周期性物理机制，并从实验角度考虑了晶格中原子布局涨落的无序性实现鲁棒性强的多色光子流操控，能够有效实现全光路由网络。</w:t>
            </w:r>
          </w:p>
          <w:p>
            <w:pPr>
              <w:spacing w:line="440" w:lineRule="exact"/>
              <w:ind w:firstLine="480" w:firstLineChars="200"/>
              <w:jc w:val="left"/>
              <w:rPr>
                <w:rFonts w:eastAsia="仿宋_GB2312"/>
                <w:bCs/>
                <w:sz w:val="24"/>
                <w:szCs w:val="24"/>
              </w:rPr>
            </w:pPr>
            <w:r>
              <w:rPr>
                <w:rFonts w:hint="eastAsia" w:eastAsia="仿宋_GB2312"/>
                <w:bCs/>
                <w:sz w:val="24"/>
                <w:szCs w:val="24"/>
              </w:rPr>
              <w:t>具体的科学发现点有四部分。一、基于里德堡原子的合作光学非线性，实现完美可靠单光子源。利用电磁感应技术，结合偶极阻塞效应，我们发现可以通过调制光学参数灵活修改透射激光的光子统计，实现单光子与多光子的灵活切换，为获得可靠的单光子源和单光子水平的光学操控提供重要的理论依据。二、激发原子内态，实现更多自由度更有效的光力相干操纵。特别地，将里德堡原子内态激发与光力学自由度耦合，我们发现可以通过单光子来操控微纳机械振子，反过来利用微纳机械振子的超微小移动等力学信息来刻画单光子行为。为实现量子信息技术提供全新的量子界面，给超精密测量赋予新的物理内涵。三、</w:t>
            </w:r>
            <w:bookmarkStart w:id="9" w:name="_Hlk153914231"/>
            <w:r>
              <w:rPr>
                <w:rFonts w:hint="eastAsia" w:eastAsia="仿宋_GB2312"/>
                <w:bCs/>
                <w:sz w:val="24"/>
                <w:szCs w:val="24"/>
              </w:rPr>
              <w:t>以里德堡原子为物理平台，我们发现可以制备鲁棒性强的高保真度原子纠缠，并且能够利用系统参数来灵活调整纠缠的类型；</w:t>
            </w:r>
            <w:bookmarkEnd w:id="9"/>
            <w:r>
              <w:rPr>
                <w:rFonts w:hint="eastAsia" w:eastAsia="仿宋_GB2312"/>
                <w:bCs/>
                <w:sz w:val="24"/>
                <w:szCs w:val="24"/>
              </w:rPr>
              <w:t>另一方面，能够用纠缠的原子对远程操控另一对原子的纠缠，为量子信息中的关联控制提供思想框架。四、在独立原子中，基于相干电磁感应透明，我们能够利用强耦合激光场操控一个弱探测激光场传播的吸收、透射等特性。捕获在一维无序光晶格中的冷原子，出现在电磁感应透明窗口的反射、透射光具有很强的鲁棒性，对原子布居涨落是免疫的。该方案对于有效操控多色光子流，实现全光路由网络具有重要的潜在应用。</w:t>
            </w:r>
          </w:p>
          <w:p>
            <w:pPr>
              <w:spacing w:line="440" w:lineRule="exact"/>
              <w:ind w:firstLine="480" w:firstLineChars="200"/>
              <w:jc w:val="left"/>
              <w:rPr>
                <w:rFonts w:eastAsia="仿宋_GB2312"/>
                <w:bCs/>
                <w:sz w:val="24"/>
                <w:szCs w:val="24"/>
              </w:rPr>
            </w:pPr>
            <w:r>
              <w:rPr>
                <w:rFonts w:hint="eastAsia" w:eastAsia="仿宋_GB2312"/>
                <w:bCs/>
                <w:sz w:val="24"/>
                <w:szCs w:val="24"/>
              </w:rPr>
              <w:t>本项目为冷原子的激发和关联操控以及实际应用提供了新思路，相关成果得到了国、内外同行的高度关注和认可，被世界顶级物理学期刊“Ph</w:t>
            </w:r>
            <w:r>
              <w:rPr>
                <w:rFonts w:eastAsia="仿宋_GB2312"/>
                <w:bCs/>
                <w:sz w:val="24"/>
                <w:szCs w:val="24"/>
              </w:rPr>
              <w:t>ysical Review Letters</w:t>
            </w:r>
            <w:r>
              <w:rPr>
                <w:rFonts w:hint="eastAsia" w:eastAsia="仿宋_GB2312"/>
                <w:bCs/>
                <w:sz w:val="24"/>
                <w:szCs w:val="24"/>
              </w:rPr>
              <w:t>”等正面引用，他引总次数为1</w:t>
            </w:r>
            <w:r>
              <w:rPr>
                <w:rFonts w:eastAsia="仿宋_GB2312"/>
                <w:bCs/>
                <w:sz w:val="24"/>
                <w:szCs w:val="24"/>
              </w:rPr>
              <w:t>01</w:t>
            </w:r>
            <w:r>
              <w:rPr>
                <w:rFonts w:hint="eastAsia" w:eastAsia="仿宋_GB2312"/>
                <w:bCs/>
                <w:sz w:val="24"/>
                <w:szCs w:val="24"/>
              </w:rPr>
              <w:t>次。发表相关文献30余篇，代表性论文中6篇发表在国际权威物理学期刊“Physical</w:t>
            </w:r>
            <w:r>
              <w:rPr>
                <w:rFonts w:eastAsia="仿宋_GB2312"/>
                <w:bCs/>
                <w:sz w:val="24"/>
                <w:szCs w:val="24"/>
              </w:rPr>
              <w:t xml:space="preserve"> </w:t>
            </w:r>
            <w:r>
              <w:rPr>
                <w:rFonts w:hint="eastAsia" w:eastAsia="仿宋_GB2312"/>
                <w:bCs/>
                <w:sz w:val="24"/>
                <w:szCs w:val="24"/>
              </w:rPr>
              <w:t>Review</w:t>
            </w:r>
            <w:r>
              <w:rPr>
                <w:rFonts w:eastAsia="仿宋_GB2312"/>
                <w:bCs/>
                <w:sz w:val="24"/>
                <w:szCs w:val="24"/>
              </w:rPr>
              <w:t xml:space="preserve"> </w:t>
            </w:r>
            <w:r>
              <w:rPr>
                <w:rFonts w:hint="eastAsia" w:eastAsia="仿宋_GB2312"/>
                <w:bCs/>
                <w:sz w:val="24"/>
                <w:szCs w:val="24"/>
              </w:rPr>
              <w:t>A”上，</w:t>
            </w:r>
            <w:r>
              <w:rPr>
                <w:rFonts w:eastAsia="仿宋_GB2312"/>
                <w:bCs/>
                <w:sz w:val="24"/>
                <w:szCs w:val="24"/>
              </w:rPr>
              <w:t>1</w:t>
            </w:r>
            <w:r>
              <w:rPr>
                <w:rFonts w:hint="eastAsia" w:eastAsia="仿宋_GB2312"/>
                <w:bCs/>
                <w:sz w:val="24"/>
                <w:szCs w:val="24"/>
              </w:rPr>
              <w:t>篇发表在“Optics</w:t>
            </w:r>
            <w:r>
              <w:rPr>
                <w:rFonts w:eastAsia="仿宋_GB2312"/>
                <w:bCs/>
                <w:sz w:val="24"/>
                <w:szCs w:val="24"/>
              </w:rPr>
              <w:t xml:space="preserve"> </w:t>
            </w:r>
            <w:r>
              <w:rPr>
                <w:rFonts w:hint="eastAsia" w:eastAsia="仿宋_GB2312"/>
                <w:bCs/>
                <w:sz w:val="24"/>
                <w:szCs w:val="24"/>
              </w:rPr>
              <w:t>Express”上。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5" w:hRule="atLeast"/>
          <w:jc w:val="center"/>
        </w:trPr>
        <w:tc>
          <w:tcPr>
            <w:tcW w:w="2269" w:type="dxa"/>
            <w:tcBorders>
              <w:right w:val="single" w:color="auto" w:sz="4" w:space="0"/>
            </w:tcBorders>
            <w:vAlign w:val="center"/>
          </w:tcPr>
          <w:p>
            <w:pPr>
              <w:spacing w:line="440" w:lineRule="exact"/>
              <w:jc w:val="center"/>
              <w:rPr>
                <w:rFonts w:eastAsia="仿宋_GB2312"/>
                <w:b/>
                <w:bCs/>
                <w:sz w:val="24"/>
                <w:szCs w:val="24"/>
              </w:rPr>
            </w:pPr>
            <w:r>
              <w:rPr>
                <w:rFonts w:eastAsia="仿宋_GB2312"/>
                <w:b/>
                <w:bCs/>
                <w:sz w:val="24"/>
                <w:szCs w:val="24"/>
              </w:rPr>
              <w:t>提名书</w:t>
            </w:r>
          </w:p>
          <w:p>
            <w:pPr>
              <w:spacing w:line="440" w:lineRule="exact"/>
              <w:jc w:val="center"/>
              <w:rPr>
                <w:rFonts w:eastAsia="仿宋_GB2312"/>
                <w:b/>
                <w:bCs/>
                <w:sz w:val="24"/>
                <w:szCs w:val="24"/>
              </w:rPr>
            </w:pPr>
            <w:r>
              <w:rPr>
                <w:rFonts w:eastAsia="仿宋_GB2312"/>
                <w:b/>
                <w:bCs/>
                <w:sz w:val="24"/>
                <w:szCs w:val="24"/>
              </w:rPr>
              <w:t>相关内容</w:t>
            </w:r>
          </w:p>
        </w:tc>
        <w:tc>
          <w:tcPr>
            <w:tcW w:w="7051" w:type="dxa"/>
            <w:tcBorders>
              <w:left w:val="single" w:color="auto" w:sz="4" w:space="0"/>
            </w:tcBorders>
            <w:vAlign w:val="center"/>
          </w:tcPr>
          <w:p>
            <w:pPr>
              <w:numPr>
                <w:ilvl w:val="0"/>
                <w:numId w:val="1"/>
              </w:numPr>
              <w:autoSpaceDE w:val="0"/>
              <w:autoSpaceDN w:val="0"/>
              <w:adjustRightInd w:val="0"/>
              <w:spacing w:line="440" w:lineRule="exact"/>
              <w:ind w:left="315" w:right="108" w:hanging="315"/>
              <w:rPr>
                <w:sz w:val="24"/>
                <w:shd w:val="clear" w:color="auto" w:fill="FFFFFF"/>
              </w:rPr>
            </w:pPr>
            <w:r>
              <w:rPr>
                <w:rFonts w:hint="eastAsia"/>
                <w:sz w:val="24"/>
                <w:shd w:val="clear" w:color="auto" w:fill="FFFFFF"/>
              </w:rPr>
              <w:t>Dong</w:t>
            </w:r>
            <w:r>
              <w:rPr>
                <w:sz w:val="24"/>
                <w:shd w:val="clear" w:color="auto" w:fill="FFFFFF"/>
              </w:rPr>
              <w:t xml:space="preserve"> Yan, Jin-Wei Gao, Qian-Qian Bao, Hong Yang, Heng Wang, and Jin-Hui Wu*. Electromagnetically induced transparency in a five-level </w:t>
            </w:r>
            <w:r>
              <w:rPr>
                <w:rFonts w:hint="eastAsia"/>
                <w:sz w:val="24"/>
                <w:shd w:val="clear" w:color="auto" w:fill="FFFFFF"/>
              </w:rPr>
              <w:t>Lamda</w:t>
            </w:r>
            <w:r>
              <w:rPr>
                <w:sz w:val="24"/>
                <w:shd w:val="clear" w:color="auto" w:fill="FFFFFF"/>
              </w:rPr>
              <w:t xml:space="preserve"> system dominated by two-photon resonant transitions</w:t>
            </w:r>
            <w:r>
              <w:rPr>
                <w:rFonts w:hint="eastAsia"/>
                <w:sz w:val="24"/>
                <w:shd w:val="clear" w:color="auto" w:fill="FFFFFF"/>
              </w:rPr>
              <w:t xml:space="preserve">. </w:t>
            </w:r>
            <w:r>
              <w:rPr>
                <w:sz w:val="24"/>
                <w:shd w:val="clear" w:color="auto" w:fill="FFFFFF"/>
              </w:rPr>
              <w:t>Physical Review A</w:t>
            </w:r>
            <w:r>
              <w:rPr>
                <w:rFonts w:hint="eastAsia"/>
                <w:sz w:val="24"/>
                <w:shd w:val="clear" w:color="auto" w:fill="FFFFFF"/>
              </w:rPr>
              <w:t xml:space="preserve">, </w:t>
            </w:r>
            <w:r>
              <w:rPr>
                <w:sz w:val="24"/>
                <w:shd w:val="clear" w:color="auto" w:fill="FFFFFF"/>
              </w:rPr>
              <w:t>2011</w:t>
            </w:r>
            <w:r>
              <w:rPr>
                <w:rFonts w:hint="eastAsia"/>
                <w:sz w:val="24"/>
                <w:shd w:val="clear" w:color="auto" w:fill="FFFFFF"/>
              </w:rPr>
              <w:t xml:space="preserve">, </w:t>
            </w:r>
            <w:r>
              <w:rPr>
                <w:sz w:val="24"/>
                <w:shd w:val="clear" w:color="auto" w:fill="FFFFFF"/>
              </w:rPr>
              <w:t>83</w:t>
            </w:r>
            <w:r>
              <w:rPr>
                <w:rFonts w:hint="eastAsia"/>
                <w:sz w:val="24"/>
                <w:shd w:val="clear" w:color="auto" w:fill="FFFFFF"/>
              </w:rPr>
              <w:t>(</w:t>
            </w:r>
            <w:r>
              <w:rPr>
                <w:sz w:val="24"/>
                <w:shd w:val="clear" w:color="auto" w:fill="FFFFFF"/>
              </w:rPr>
              <w:t>3</w:t>
            </w:r>
            <w:r>
              <w:rPr>
                <w:rFonts w:hint="eastAsia"/>
                <w:sz w:val="24"/>
                <w:shd w:val="clear" w:color="auto" w:fill="FFFFFF"/>
              </w:rPr>
              <w:t xml:space="preserve">): </w:t>
            </w:r>
            <w:r>
              <w:rPr>
                <w:sz w:val="24"/>
                <w:shd w:val="clear" w:color="auto" w:fill="FFFFFF"/>
              </w:rPr>
              <w:t>033830-1-7</w:t>
            </w:r>
            <w:r>
              <w:rPr>
                <w:rFonts w:hint="eastAsia"/>
                <w:sz w:val="24"/>
                <w:shd w:val="clear" w:color="auto" w:fill="FFFFFF"/>
              </w:rPr>
              <w:t xml:space="preserve">. </w:t>
            </w:r>
          </w:p>
          <w:p>
            <w:pPr>
              <w:numPr>
                <w:ilvl w:val="0"/>
                <w:numId w:val="1"/>
              </w:numPr>
              <w:autoSpaceDE w:val="0"/>
              <w:autoSpaceDN w:val="0"/>
              <w:adjustRightInd w:val="0"/>
              <w:spacing w:line="440" w:lineRule="exact"/>
              <w:ind w:left="315" w:right="108" w:hanging="315"/>
              <w:rPr>
                <w:sz w:val="24"/>
                <w:shd w:val="clear" w:color="auto" w:fill="FFFFFF"/>
              </w:rPr>
            </w:pPr>
            <w:r>
              <w:rPr>
                <w:sz w:val="24"/>
                <w:shd w:val="clear" w:color="auto" w:fill="FFFFFF"/>
              </w:rPr>
              <w:t>Dong Yan</w:t>
            </w:r>
            <w:r>
              <w:rPr>
                <w:rFonts w:hint="eastAsia"/>
                <w:sz w:val="24"/>
                <w:shd w:val="clear" w:color="auto" w:fill="FFFFFF"/>
              </w:rPr>
              <w:t xml:space="preserve">, </w:t>
            </w:r>
            <w:r>
              <w:rPr>
                <w:sz w:val="24"/>
                <w:shd w:val="clear" w:color="auto" w:fill="FFFFFF"/>
              </w:rPr>
              <w:t>Cui-Li Cui, Mei Zhang, and Jin-Hui Wu*. Coherent population transfer and quantum entanglement generation involving a Rydberg state by stimulated Raman adiabatic passage. Physical Review A</w:t>
            </w:r>
            <w:r>
              <w:rPr>
                <w:rFonts w:hint="eastAsia"/>
                <w:sz w:val="24"/>
                <w:shd w:val="clear" w:color="auto" w:fill="FFFFFF"/>
              </w:rPr>
              <w:t xml:space="preserve">, </w:t>
            </w:r>
            <w:r>
              <w:rPr>
                <w:sz w:val="24"/>
                <w:shd w:val="clear" w:color="auto" w:fill="FFFFFF"/>
              </w:rPr>
              <w:t>2011</w:t>
            </w:r>
            <w:r>
              <w:rPr>
                <w:rFonts w:hint="eastAsia"/>
                <w:sz w:val="24"/>
                <w:shd w:val="clear" w:color="auto" w:fill="FFFFFF"/>
              </w:rPr>
              <w:t xml:space="preserve">, </w:t>
            </w:r>
            <w:r>
              <w:rPr>
                <w:sz w:val="24"/>
                <w:shd w:val="clear" w:color="auto" w:fill="FFFFFF"/>
              </w:rPr>
              <w:t>84</w:t>
            </w:r>
            <w:r>
              <w:rPr>
                <w:rFonts w:hint="eastAsia"/>
                <w:sz w:val="24"/>
                <w:shd w:val="clear" w:color="auto" w:fill="FFFFFF"/>
              </w:rPr>
              <w:t>(</w:t>
            </w:r>
            <w:r>
              <w:rPr>
                <w:sz w:val="24"/>
                <w:shd w:val="clear" w:color="auto" w:fill="FFFFFF"/>
              </w:rPr>
              <w:t>4</w:t>
            </w:r>
            <w:r>
              <w:rPr>
                <w:rFonts w:hint="eastAsia"/>
                <w:sz w:val="24"/>
                <w:shd w:val="clear" w:color="auto" w:fill="FFFFFF"/>
              </w:rPr>
              <w:t xml:space="preserve">): </w:t>
            </w:r>
            <w:r>
              <w:rPr>
                <w:sz w:val="24"/>
                <w:shd w:val="clear" w:color="auto" w:fill="FFFFFF"/>
              </w:rPr>
              <w:t>043405-1-6</w:t>
            </w:r>
            <w:r>
              <w:rPr>
                <w:rFonts w:hint="eastAsia"/>
                <w:sz w:val="24"/>
                <w:shd w:val="clear" w:color="auto" w:fill="FFFFFF"/>
              </w:rPr>
              <w:t>.</w:t>
            </w:r>
            <w:r>
              <w:rPr>
                <w:sz w:val="24"/>
                <w:shd w:val="clear" w:color="auto" w:fill="FFFFFF"/>
              </w:rPr>
              <w:t xml:space="preserve"> </w:t>
            </w:r>
          </w:p>
          <w:p>
            <w:pPr>
              <w:numPr>
                <w:ilvl w:val="0"/>
                <w:numId w:val="1"/>
              </w:numPr>
              <w:spacing w:line="440" w:lineRule="exact"/>
              <w:ind w:left="315" w:hanging="315"/>
              <w:rPr>
                <w:sz w:val="24"/>
                <w:shd w:val="clear" w:color="auto" w:fill="FFFFFF"/>
              </w:rPr>
            </w:pPr>
            <w:r>
              <w:rPr>
                <w:sz w:val="24"/>
                <w:shd w:val="clear" w:color="auto" w:fill="FFFFFF"/>
              </w:rPr>
              <w:t>Dong Yan, Yi-Mou Liu, Qian-Qian Bao, Chang-Bao Fu, and Jin-Hui Wu*</w:t>
            </w:r>
            <w:r>
              <w:rPr>
                <w:rFonts w:hint="eastAsia"/>
                <w:sz w:val="24"/>
                <w:shd w:val="clear" w:color="auto" w:fill="FFFFFF"/>
              </w:rPr>
              <w:t xml:space="preserve">. </w:t>
            </w:r>
            <w:r>
              <w:rPr>
                <w:sz w:val="24"/>
                <w:shd w:val="clear" w:color="auto" w:fill="FFFFFF"/>
              </w:rPr>
              <w:t>Electromagnetically induced transparency in an inverted-Y system of interacting cold atoms. Physical Review A</w:t>
            </w:r>
            <w:r>
              <w:rPr>
                <w:rFonts w:hint="eastAsia"/>
                <w:sz w:val="24"/>
                <w:shd w:val="clear" w:color="auto" w:fill="FFFFFF"/>
              </w:rPr>
              <w:t xml:space="preserve">, </w:t>
            </w:r>
            <w:r>
              <w:rPr>
                <w:sz w:val="24"/>
                <w:shd w:val="clear" w:color="auto" w:fill="FFFFFF"/>
              </w:rPr>
              <w:t>2012</w:t>
            </w:r>
            <w:r>
              <w:rPr>
                <w:rFonts w:hint="eastAsia"/>
                <w:sz w:val="24"/>
                <w:shd w:val="clear" w:color="auto" w:fill="FFFFFF"/>
              </w:rPr>
              <w:t xml:space="preserve">, </w:t>
            </w:r>
            <w:r>
              <w:rPr>
                <w:sz w:val="24"/>
                <w:shd w:val="clear" w:color="auto" w:fill="FFFFFF"/>
              </w:rPr>
              <w:t>86</w:t>
            </w:r>
            <w:r>
              <w:rPr>
                <w:rFonts w:hint="eastAsia"/>
                <w:sz w:val="24"/>
                <w:shd w:val="clear" w:color="auto" w:fill="FFFFFF"/>
              </w:rPr>
              <w:t>(</w:t>
            </w:r>
            <w:r>
              <w:rPr>
                <w:sz w:val="24"/>
                <w:shd w:val="clear" w:color="auto" w:fill="FFFFFF"/>
              </w:rPr>
              <w:t>2</w:t>
            </w:r>
            <w:r>
              <w:rPr>
                <w:rFonts w:hint="eastAsia"/>
                <w:sz w:val="24"/>
                <w:shd w:val="clear" w:color="auto" w:fill="FFFFFF"/>
              </w:rPr>
              <w:t xml:space="preserve">): </w:t>
            </w:r>
            <w:r>
              <w:rPr>
                <w:sz w:val="24"/>
                <w:shd w:val="clear" w:color="auto" w:fill="FFFFFF"/>
              </w:rPr>
              <w:t>023828-1-5</w:t>
            </w:r>
            <w:r>
              <w:rPr>
                <w:rFonts w:hint="eastAsia"/>
                <w:sz w:val="24"/>
                <w:shd w:val="clear" w:color="auto" w:fill="FFFFFF"/>
              </w:rPr>
              <w:t>.</w:t>
            </w:r>
          </w:p>
          <w:p>
            <w:pPr>
              <w:numPr>
                <w:ilvl w:val="0"/>
                <w:numId w:val="1"/>
              </w:numPr>
              <w:autoSpaceDE w:val="0"/>
              <w:autoSpaceDN w:val="0"/>
              <w:adjustRightInd w:val="0"/>
              <w:spacing w:line="440" w:lineRule="exact"/>
              <w:ind w:left="315" w:right="108" w:hanging="315"/>
              <w:rPr>
                <w:sz w:val="24"/>
                <w:shd w:val="clear" w:color="auto" w:fill="FFFFFF"/>
              </w:rPr>
            </w:pPr>
            <w:r>
              <w:rPr>
                <w:sz w:val="24"/>
                <w:shd w:val="clear" w:color="auto" w:fill="FFFFFF"/>
              </w:rPr>
              <w:t>Dong Yan, Cui-Li Cui, Yi-Mou Liu, Li-Jun Song, and Jin-Hui Wu. Normal and abnormal nonlinear electromagnetically induced transparency due to dipole blockade of Rydberg excitation. Physical Review A, 2013, 87(2): 023827-1-6.</w:t>
            </w:r>
          </w:p>
          <w:p>
            <w:pPr>
              <w:numPr>
                <w:ilvl w:val="0"/>
                <w:numId w:val="1"/>
              </w:numPr>
              <w:autoSpaceDE w:val="0"/>
              <w:autoSpaceDN w:val="0"/>
              <w:adjustRightInd w:val="0"/>
              <w:spacing w:line="440" w:lineRule="exact"/>
              <w:ind w:left="360" w:right="108" w:hanging="360" w:hangingChars="150"/>
              <w:rPr>
                <w:sz w:val="24"/>
                <w:shd w:val="clear" w:color="auto" w:fill="FFFFFF"/>
              </w:rPr>
            </w:pPr>
            <w:r>
              <w:rPr>
                <w:sz w:val="24"/>
                <w:shd w:val="clear" w:color="auto" w:fill="FFFFFF"/>
              </w:rPr>
              <w:t xml:space="preserve">Dong Yan, Zhi-Hai Wang, Chun-Nian Ren, Hang Gao, Yong Li, and Jin-Hui Wu*. Duality and bistability in an optomechanical cavity coupled to a Rydberg superatom. Physical Review A, 2015, 91(2): 023813-1-7. </w:t>
            </w:r>
          </w:p>
          <w:p>
            <w:pPr>
              <w:numPr>
                <w:ilvl w:val="0"/>
                <w:numId w:val="1"/>
              </w:numPr>
              <w:autoSpaceDE w:val="0"/>
              <w:autoSpaceDN w:val="0"/>
              <w:adjustRightInd w:val="0"/>
              <w:spacing w:line="440" w:lineRule="exact"/>
              <w:ind w:left="315" w:right="108" w:hanging="315"/>
              <w:rPr>
                <w:sz w:val="24"/>
                <w:shd w:val="clear" w:color="auto" w:fill="FFFFFF"/>
              </w:rPr>
            </w:pPr>
            <w:r>
              <w:rPr>
                <w:sz w:val="24"/>
                <w:shd w:val="clear" w:color="auto" w:fill="FFFFFF"/>
              </w:rPr>
              <w:t xml:space="preserve">Hong Yang, Dong Yan, Mei Zhang, Bo Fang, Yan Zhang, and Jin-Hui Wu*. Absorption and dispersion control in a five-level M-type atomic system. Chinese Physics B, 2012, 21(11): 114207-1-6. </w:t>
            </w:r>
          </w:p>
          <w:p>
            <w:pPr>
              <w:numPr>
                <w:ilvl w:val="0"/>
                <w:numId w:val="1"/>
              </w:numPr>
              <w:autoSpaceDE w:val="0"/>
              <w:autoSpaceDN w:val="0"/>
              <w:adjustRightInd w:val="0"/>
              <w:spacing w:line="440" w:lineRule="exact"/>
              <w:ind w:left="315" w:right="108" w:hanging="315"/>
              <w:rPr>
                <w:sz w:val="24"/>
                <w:shd w:val="clear" w:color="auto" w:fill="FFFFFF"/>
              </w:rPr>
            </w:pPr>
            <w:r>
              <w:rPr>
                <w:sz w:val="24"/>
                <w:shd w:val="clear" w:color="auto" w:fill="FFFFFF"/>
              </w:rPr>
              <w:t xml:space="preserve">Hong Yang, Tinggui Zhang, Yan Zhang*, and Jin-Hui Wu*. Dynamically tunable three-color reflections immune to disorder in optical. Physical Review A, 2020, 101(5):053856-1-6. </w:t>
            </w:r>
          </w:p>
          <w:p>
            <w:pPr>
              <w:numPr>
                <w:ilvl w:val="0"/>
                <w:numId w:val="1"/>
              </w:numPr>
              <w:autoSpaceDE w:val="0"/>
              <w:autoSpaceDN w:val="0"/>
              <w:adjustRightInd w:val="0"/>
              <w:spacing w:line="440" w:lineRule="exact"/>
              <w:ind w:left="315" w:right="108" w:hanging="315"/>
              <w:rPr>
                <w:sz w:val="24"/>
                <w:shd w:val="clear" w:color="auto" w:fill="FFFFFF"/>
              </w:rPr>
            </w:pPr>
            <w:r>
              <w:rPr>
                <w:sz w:val="24"/>
                <w:shd w:val="clear" w:color="auto" w:fill="FFFFFF"/>
              </w:rPr>
              <w:t>Han-Xiao Zhang</w:t>
            </w:r>
            <w:r>
              <w:rPr>
                <w:rFonts w:hint="eastAsia"/>
                <w:sz w:val="24"/>
                <w:shd w:val="clear" w:color="auto" w:fill="FFFFFF"/>
              </w:rPr>
              <w:t>,</w:t>
            </w:r>
            <w:r>
              <w:rPr>
                <w:sz w:val="24"/>
                <w:shd w:val="clear" w:color="auto" w:fill="FFFFFF"/>
              </w:rPr>
              <w:t xml:space="preserve"> Chu-Hui Fan</w:t>
            </w:r>
            <w:r>
              <w:rPr>
                <w:rFonts w:hint="eastAsia"/>
                <w:sz w:val="24"/>
                <w:shd w:val="clear" w:color="auto" w:fill="FFFFFF"/>
              </w:rPr>
              <w:t>,</w:t>
            </w:r>
            <w:r>
              <w:rPr>
                <w:sz w:val="24"/>
                <w:shd w:val="clear" w:color="auto" w:fill="FFFFFF"/>
              </w:rPr>
              <w:t xml:space="preserve"> and Jin-Hui Wu</w:t>
            </w:r>
            <w:r>
              <w:rPr>
                <w:rFonts w:hint="eastAsia"/>
                <w:sz w:val="24"/>
                <w:shd w:val="clear" w:color="auto" w:fill="FFFFFF"/>
              </w:rPr>
              <w:t>*</w:t>
            </w:r>
            <w:r>
              <w:rPr>
                <w:sz w:val="24"/>
                <w:shd w:val="clear" w:color="auto" w:fill="FFFFFF"/>
              </w:rPr>
              <w:t>. In-phase and anti-phase entanglement dynamics of Rydberg atomic pairs. Optics Express,</w:t>
            </w:r>
            <w:r>
              <w:rPr>
                <w:rFonts w:hint="eastAsia"/>
                <w:sz w:val="24"/>
                <w:shd w:val="clear" w:color="auto" w:fill="FFFFFF"/>
              </w:rPr>
              <w:t xml:space="preserve"> 202</w:t>
            </w:r>
            <w:r>
              <w:rPr>
                <w:sz w:val="24"/>
                <w:shd w:val="clear" w:color="auto" w:fill="FFFFFF"/>
              </w:rPr>
              <w:t>0</w:t>
            </w:r>
            <w:r>
              <w:rPr>
                <w:rFonts w:hint="eastAsia"/>
                <w:sz w:val="24"/>
                <w:shd w:val="clear" w:color="auto" w:fill="FFFFFF"/>
              </w:rPr>
              <w:t>,</w:t>
            </w:r>
            <w:r>
              <w:rPr>
                <w:sz w:val="24"/>
                <w:shd w:val="clear" w:color="auto" w:fill="FFFFFF"/>
              </w:rPr>
              <w:t xml:space="preserve"> 28(23)</w:t>
            </w:r>
            <w:r>
              <w:rPr>
                <w:rFonts w:hint="eastAsia"/>
                <w:sz w:val="24"/>
                <w:shd w:val="clear" w:color="auto" w:fill="FFFFFF"/>
              </w:rPr>
              <w:t>:</w:t>
            </w:r>
            <w:r>
              <w:rPr>
                <w:sz w:val="24"/>
                <w:shd w:val="clear" w:color="auto" w:fill="FFFFFF"/>
              </w:rPr>
              <w:t xml:space="preserve"> 35350-35362</w:t>
            </w:r>
            <w:r>
              <w:rPr>
                <w:rFonts w:hint="eastAsia"/>
                <w:sz w:val="24"/>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2269" w:type="dxa"/>
            <w:vAlign w:val="center"/>
          </w:tcPr>
          <w:p>
            <w:pPr>
              <w:spacing w:line="440" w:lineRule="exact"/>
              <w:jc w:val="center"/>
              <w:rPr>
                <w:rFonts w:eastAsia="仿宋_GB2312"/>
                <w:b/>
                <w:bCs/>
                <w:sz w:val="24"/>
                <w:szCs w:val="24"/>
              </w:rPr>
            </w:pPr>
            <w:r>
              <w:rPr>
                <w:rFonts w:eastAsia="仿宋_GB2312"/>
                <w:b/>
                <w:bCs/>
                <w:sz w:val="24"/>
                <w:szCs w:val="24"/>
              </w:rPr>
              <w:t>主要完成人</w:t>
            </w:r>
          </w:p>
        </w:tc>
        <w:tc>
          <w:tcPr>
            <w:tcW w:w="7051" w:type="dxa"/>
            <w:vAlign w:val="center"/>
          </w:tcPr>
          <w:p>
            <w:pPr>
              <w:spacing w:line="440" w:lineRule="exact"/>
              <w:rPr>
                <w:rFonts w:eastAsia="仿宋_GB2312"/>
                <w:bCs/>
                <w:sz w:val="24"/>
                <w:szCs w:val="24"/>
              </w:rPr>
            </w:pPr>
            <w:r>
              <w:rPr>
                <w:rFonts w:hint="eastAsia" w:eastAsia="仿宋_GB2312"/>
                <w:bCs/>
                <w:sz w:val="24"/>
                <w:szCs w:val="24"/>
              </w:rPr>
              <w:t>姓名：严冬</w:t>
            </w:r>
            <w:r>
              <w:rPr>
                <w:rFonts w:eastAsia="仿宋_GB2312"/>
                <w:bCs/>
                <w:sz w:val="24"/>
                <w:szCs w:val="24"/>
              </w:rPr>
              <w:t>，排名1，</w:t>
            </w:r>
            <w:r>
              <w:rPr>
                <w:rFonts w:hint="eastAsia" w:eastAsia="仿宋_GB2312"/>
                <w:bCs/>
                <w:sz w:val="24"/>
                <w:szCs w:val="24"/>
              </w:rPr>
              <w:t>教授</w:t>
            </w:r>
            <w:r>
              <w:rPr>
                <w:rFonts w:eastAsia="仿宋_GB2312"/>
                <w:bCs/>
                <w:sz w:val="24"/>
                <w:szCs w:val="24"/>
              </w:rPr>
              <w:t>，</w:t>
            </w:r>
            <w:r>
              <w:rPr>
                <w:rFonts w:hint="eastAsia" w:eastAsia="仿宋_GB2312"/>
                <w:bCs/>
                <w:sz w:val="24"/>
                <w:szCs w:val="24"/>
              </w:rPr>
              <w:t>海南师范大学</w:t>
            </w:r>
            <w:r>
              <w:rPr>
                <w:rFonts w:eastAsia="仿宋_GB2312"/>
                <w:bCs/>
                <w:sz w:val="24"/>
                <w:szCs w:val="24"/>
              </w:rPr>
              <w:t>；</w:t>
            </w:r>
          </w:p>
          <w:p>
            <w:pPr>
              <w:spacing w:line="440" w:lineRule="exact"/>
              <w:rPr>
                <w:rFonts w:eastAsia="仿宋_GB2312"/>
                <w:bCs/>
                <w:sz w:val="24"/>
                <w:szCs w:val="24"/>
              </w:rPr>
            </w:pPr>
            <w:r>
              <w:rPr>
                <w:rFonts w:hint="eastAsia" w:eastAsia="仿宋_GB2312"/>
                <w:bCs/>
                <w:sz w:val="24"/>
                <w:szCs w:val="24"/>
              </w:rPr>
              <w:t>姓名：杨红，排名2，副教授，海南师范大学；</w:t>
            </w:r>
          </w:p>
          <w:p>
            <w:pPr>
              <w:spacing w:line="440" w:lineRule="exact"/>
              <w:rPr>
                <w:rFonts w:eastAsia="仿宋_GB2312"/>
                <w:bCs/>
                <w:sz w:val="24"/>
                <w:szCs w:val="24"/>
              </w:rPr>
            </w:pPr>
            <w:r>
              <w:rPr>
                <w:rFonts w:hint="eastAsia" w:eastAsia="仿宋_GB2312"/>
                <w:bCs/>
                <w:sz w:val="24"/>
                <w:szCs w:val="24"/>
              </w:rPr>
              <w:t>姓名：张焓笑</w:t>
            </w:r>
            <w:r>
              <w:rPr>
                <w:rFonts w:eastAsia="仿宋_GB2312"/>
                <w:bCs/>
                <w:sz w:val="24"/>
                <w:szCs w:val="24"/>
              </w:rPr>
              <w:t>，排名</w:t>
            </w:r>
            <w:r>
              <w:rPr>
                <w:rFonts w:hint="eastAsia" w:eastAsia="仿宋_GB2312"/>
                <w:bCs/>
                <w:sz w:val="24"/>
                <w:szCs w:val="24"/>
              </w:rPr>
              <w:t>3，讲师</w:t>
            </w:r>
            <w:r>
              <w:rPr>
                <w:rFonts w:eastAsia="仿宋_GB2312"/>
                <w:bCs/>
                <w:sz w:val="24"/>
                <w:szCs w:val="24"/>
              </w:rPr>
              <w:t>，</w:t>
            </w:r>
            <w:r>
              <w:rPr>
                <w:rFonts w:hint="eastAsia" w:eastAsia="仿宋_GB2312"/>
                <w:bCs/>
                <w:sz w:val="24"/>
                <w:szCs w:val="24"/>
              </w:rPr>
              <w:t>海南</w:t>
            </w:r>
            <w:r>
              <w:rPr>
                <w:rFonts w:eastAsia="仿宋_GB2312"/>
                <w:bCs/>
                <w:sz w:val="24"/>
                <w:szCs w:val="24"/>
              </w:rPr>
              <w:t>师范</w:t>
            </w:r>
            <w:r>
              <w:rPr>
                <w:rFonts w:hint="eastAsia" w:eastAsia="仿宋_GB2312"/>
                <w:bCs/>
                <w:sz w:val="24"/>
                <w:szCs w:val="24"/>
              </w:rPr>
              <w:t>大学；</w:t>
            </w:r>
          </w:p>
          <w:p>
            <w:pPr>
              <w:spacing w:line="440" w:lineRule="exact"/>
              <w:rPr>
                <w:rFonts w:eastAsia="仿宋_GB2312"/>
                <w:bCs/>
                <w:sz w:val="24"/>
                <w:szCs w:val="24"/>
              </w:rPr>
            </w:pPr>
            <w:r>
              <w:rPr>
                <w:rFonts w:hint="eastAsia" w:eastAsia="仿宋_GB2312"/>
                <w:bCs/>
                <w:sz w:val="24"/>
                <w:szCs w:val="24"/>
              </w:rPr>
              <w:t>姓名：吴金辉，排名</w:t>
            </w:r>
            <w:r>
              <w:rPr>
                <w:rFonts w:eastAsia="仿宋_GB2312"/>
                <w:bCs/>
                <w:sz w:val="24"/>
                <w:szCs w:val="24"/>
              </w:rPr>
              <w:t>4</w:t>
            </w:r>
            <w:r>
              <w:rPr>
                <w:rFonts w:hint="eastAsia" w:eastAsia="仿宋_GB2312"/>
                <w:bCs/>
                <w:sz w:val="24"/>
                <w:szCs w:val="24"/>
              </w:rPr>
              <w:t>，教授，东北师范大学；</w:t>
            </w:r>
          </w:p>
          <w:p>
            <w:pPr>
              <w:spacing w:line="440" w:lineRule="exact"/>
              <w:rPr>
                <w:rFonts w:eastAsia="仿宋_GB2312"/>
                <w:bCs/>
                <w:sz w:val="24"/>
                <w:szCs w:val="24"/>
              </w:rPr>
            </w:pPr>
            <w:r>
              <w:rPr>
                <w:rFonts w:hint="eastAsia" w:eastAsia="仿宋_GB2312"/>
                <w:bCs/>
                <w:sz w:val="24"/>
                <w:szCs w:val="24"/>
              </w:rPr>
              <w:t>姓名：刘一谋，排名</w:t>
            </w:r>
            <w:r>
              <w:rPr>
                <w:rFonts w:eastAsia="仿宋_GB2312"/>
                <w:bCs/>
                <w:sz w:val="24"/>
                <w:szCs w:val="24"/>
              </w:rPr>
              <w:t>5</w:t>
            </w:r>
            <w:r>
              <w:rPr>
                <w:rFonts w:hint="eastAsia" w:eastAsia="仿宋_GB2312"/>
                <w:bCs/>
                <w:sz w:val="24"/>
                <w:szCs w:val="24"/>
              </w:rPr>
              <w:t>，副教授，东北师范大学；</w:t>
            </w:r>
          </w:p>
          <w:p>
            <w:pPr>
              <w:spacing w:line="440" w:lineRule="exact"/>
              <w:rPr>
                <w:rFonts w:eastAsia="仿宋_GB2312"/>
                <w:bCs/>
                <w:sz w:val="24"/>
                <w:szCs w:val="24"/>
              </w:rPr>
            </w:pPr>
            <w:r>
              <w:rPr>
                <w:rFonts w:hint="eastAsia" w:eastAsia="仿宋_GB2312"/>
                <w:bCs/>
                <w:sz w:val="24"/>
                <w:szCs w:val="24"/>
              </w:rPr>
              <w:t>姓名：崔淬砺，排名</w:t>
            </w:r>
            <w:r>
              <w:rPr>
                <w:rFonts w:eastAsia="仿宋_GB2312"/>
                <w:bCs/>
                <w:sz w:val="24"/>
                <w:szCs w:val="24"/>
              </w:rPr>
              <w:t>6</w:t>
            </w:r>
            <w:r>
              <w:rPr>
                <w:rFonts w:hint="eastAsia" w:eastAsia="仿宋_GB2312"/>
                <w:bCs/>
                <w:sz w:val="24"/>
                <w:szCs w:val="24"/>
              </w:rPr>
              <w:t>，副教授，吉林大学。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2269" w:type="dxa"/>
            <w:vAlign w:val="center"/>
          </w:tcPr>
          <w:p>
            <w:pPr>
              <w:spacing w:line="440" w:lineRule="exact"/>
              <w:jc w:val="center"/>
              <w:rPr>
                <w:rFonts w:eastAsia="仿宋_GB2312"/>
                <w:b/>
                <w:bCs/>
                <w:sz w:val="24"/>
                <w:szCs w:val="24"/>
              </w:rPr>
            </w:pPr>
            <w:r>
              <w:rPr>
                <w:rFonts w:eastAsia="仿宋_GB2312"/>
                <w:b/>
                <w:bCs/>
                <w:sz w:val="24"/>
                <w:szCs w:val="24"/>
              </w:rPr>
              <w:t>主要完成单位</w:t>
            </w:r>
          </w:p>
        </w:tc>
        <w:tc>
          <w:tcPr>
            <w:tcW w:w="7051" w:type="dxa"/>
            <w:vAlign w:val="center"/>
          </w:tcPr>
          <w:p>
            <w:pPr>
              <w:spacing w:line="440" w:lineRule="exact"/>
              <w:jc w:val="left"/>
              <w:rPr>
                <w:rFonts w:eastAsia="仿宋_GB2312"/>
                <w:bCs/>
                <w:sz w:val="24"/>
                <w:szCs w:val="24"/>
              </w:rPr>
            </w:pPr>
            <w:r>
              <w:rPr>
                <w:rFonts w:eastAsia="仿宋_GB2312"/>
                <w:bCs/>
                <w:sz w:val="24"/>
                <w:szCs w:val="24"/>
              </w:rPr>
              <w:t>1.</w:t>
            </w:r>
            <w:r>
              <w:rPr>
                <w:rFonts w:hint="eastAsia" w:eastAsia="仿宋_GB2312"/>
                <w:bCs/>
                <w:sz w:val="24"/>
                <w:szCs w:val="24"/>
              </w:rPr>
              <w:t>海南师范大学；2</w:t>
            </w:r>
            <w:r>
              <w:rPr>
                <w:rFonts w:eastAsia="仿宋_GB2312"/>
                <w:bCs/>
                <w:sz w:val="24"/>
                <w:szCs w:val="24"/>
              </w:rPr>
              <w:t>.</w:t>
            </w:r>
            <w:r>
              <w:rPr>
                <w:rFonts w:hint="eastAsia" w:eastAsia="仿宋_GB2312"/>
                <w:bCs/>
                <w:sz w:val="24"/>
                <w:szCs w:val="24"/>
              </w:rPr>
              <w:t xml:space="preserve"> 吉林大学；3</w:t>
            </w:r>
            <w:r>
              <w:rPr>
                <w:rFonts w:eastAsia="仿宋_GB2312"/>
                <w:bCs/>
                <w:sz w:val="24"/>
                <w:szCs w:val="24"/>
              </w:rPr>
              <w:t>.</w:t>
            </w:r>
            <w:r>
              <w:rPr>
                <w:rFonts w:hint="eastAsia" w:eastAsia="仿宋_GB2312"/>
                <w:bCs/>
                <w:sz w:val="24"/>
                <w:szCs w:val="24"/>
              </w:rPr>
              <w:t>东北师范大学</w:t>
            </w:r>
          </w:p>
        </w:tc>
      </w:tr>
    </w:tbl>
    <w:p>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说明：国际科学技术合作奖可不用公示，其余奖项必须公示</w:t>
      </w:r>
      <w:r>
        <w:rPr>
          <w:rFonts w:hint="eastAsia" w:ascii="仿宋_GB2312" w:hAnsi="仿宋_GB2312" w:eastAsia="仿宋_GB2312" w:cs="仿宋_GB2312"/>
          <w:b/>
          <w:bCs/>
          <w:sz w:val="24"/>
          <w:szCs w:val="24"/>
        </w:rPr>
        <w:t>至少7个</w:t>
      </w:r>
      <w:r>
        <w:rPr>
          <w:rFonts w:hint="eastAsia" w:ascii="仿宋_GB2312" w:hAnsi="仿宋_GB2312" w:eastAsia="仿宋_GB2312" w:cs="仿宋_GB2312"/>
          <w:b/>
          <w:bCs/>
          <w:sz w:val="24"/>
          <w:szCs w:val="24"/>
          <w:u w:val="wavyHeavy"/>
        </w:rPr>
        <w:t>工作日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41AA8"/>
    <w:multiLevelType w:val="singleLevel"/>
    <w:tmpl w:val="2EE41AA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MDRlNDM4Mzk3ODkwOGZlMzdmMTQyMjIyODI1ZDkifQ=="/>
    <w:docVar w:name="KSO_WPS_MARK_KEY" w:val="0d8573f1-cbdf-468b-b12f-8e8e03f7a392"/>
  </w:docVars>
  <w:rsids>
    <w:rsidRoot w:val="00F96858"/>
    <w:rsid w:val="00074333"/>
    <w:rsid w:val="00090F8B"/>
    <w:rsid w:val="000A7298"/>
    <w:rsid w:val="00125505"/>
    <w:rsid w:val="00135519"/>
    <w:rsid w:val="00212878"/>
    <w:rsid w:val="002214EA"/>
    <w:rsid w:val="00253119"/>
    <w:rsid w:val="002B6F05"/>
    <w:rsid w:val="002C7E89"/>
    <w:rsid w:val="002F1F72"/>
    <w:rsid w:val="00331862"/>
    <w:rsid w:val="003351B6"/>
    <w:rsid w:val="003643C7"/>
    <w:rsid w:val="003727AD"/>
    <w:rsid w:val="0041041B"/>
    <w:rsid w:val="004A2AFB"/>
    <w:rsid w:val="005166E1"/>
    <w:rsid w:val="00593297"/>
    <w:rsid w:val="005D29FA"/>
    <w:rsid w:val="005D2B7D"/>
    <w:rsid w:val="005D47C8"/>
    <w:rsid w:val="00612C2C"/>
    <w:rsid w:val="00655BD1"/>
    <w:rsid w:val="0067548D"/>
    <w:rsid w:val="006B7F96"/>
    <w:rsid w:val="006D0C57"/>
    <w:rsid w:val="006E081A"/>
    <w:rsid w:val="007511FA"/>
    <w:rsid w:val="00763AFA"/>
    <w:rsid w:val="00783F45"/>
    <w:rsid w:val="00837B77"/>
    <w:rsid w:val="008A768A"/>
    <w:rsid w:val="008C5268"/>
    <w:rsid w:val="008C672D"/>
    <w:rsid w:val="008E36A7"/>
    <w:rsid w:val="00932EB6"/>
    <w:rsid w:val="0093391C"/>
    <w:rsid w:val="009F409C"/>
    <w:rsid w:val="00A54C2D"/>
    <w:rsid w:val="00A60367"/>
    <w:rsid w:val="00AD0A27"/>
    <w:rsid w:val="00AF371D"/>
    <w:rsid w:val="00B565CB"/>
    <w:rsid w:val="00B967DF"/>
    <w:rsid w:val="00BB44B2"/>
    <w:rsid w:val="00BD4706"/>
    <w:rsid w:val="00C65C51"/>
    <w:rsid w:val="00CE0A12"/>
    <w:rsid w:val="00D55339"/>
    <w:rsid w:val="00D70C0D"/>
    <w:rsid w:val="00DD0446"/>
    <w:rsid w:val="00E35825"/>
    <w:rsid w:val="00E50441"/>
    <w:rsid w:val="00E94337"/>
    <w:rsid w:val="00ED5153"/>
    <w:rsid w:val="00F702A1"/>
    <w:rsid w:val="00F96858"/>
    <w:rsid w:val="00FD156B"/>
    <w:rsid w:val="1F9E33E5"/>
    <w:rsid w:val="391953AC"/>
    <w:rsid w:val="54321A95"/>
    <w:rsid w:val="59AB1BDF"/>
    <w:rsid w:val="5F7E676A"/>
    <w:rsid w:val="78C0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link w:val="12"/>
    <w:qFormat/>
    <w:uiPriority w:val="0"/>
    <w:pPr>
      <w:adjustRightInd w:val="0"/>
      <w:snapToGrid w:val="0"/>
      <w:ind w:firstLine="480" w:firstLineChars="200"/>
      <w:outlineLvl w:val="3"/>
    </w:pPr>
    <w:rPr>
      <w:rFonts w:ascii="仿宋_GB2312"/>
      <w:sz w:val="24"/>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tabs>
        <w:tab w:val="center" w:pos="4153"/>
        <w:tab w:val="right" w:pos="8306"/>
      </w:tabs>
      <w:snapToGrid w:val="0"/>
      <w:jc w:val="center"/>
    </w:pPr>
    <w:rPr>
      <w:sz w:val="18"/>
      <w:szCs w:val="18"/>
    </w:rPr>
  </w:style>
  <w:style w:type="character" w:customStyle="1" w:styleId="8">
    <w:name w:val="title1"/>
    <w:qFormat/>
    <w:uiPriority w:val="0"/>
    <w:rPr>
      <w:b/>
      <w:bCs/>
      <w:color w:val="999900"/>
      <w:sz w:val="24"/>
      <w:szCs w:val="24"/>
    </w:rPr>
  </w:style>
  <w:style w:type="character" w:customStyle="1" w:styleId="9">
    <w:name w:val="页眉 字符"/>
    <w:basedOn w:val="7"/>
    <w:link w:val="5"/>
    <w:qFormat/>
    <w:uiPriority w:val="0"/>
    <w:rPr>
      <w:rFonts w:ascii="Times New Roman" w:hAnsi="Times New Roman" w:eastAsia="宋体" w:cs="Times New Roman"/>
      <w:kern w:val="2"/>
      <w:sz w:val="18"/>
      <w:szCs w:val="18"/>
    </w:rPr>
  </w:style>
  <w:style w:type="character" w:customStyle="1" w:styleId="10">
    <w:name w:val="页脚 字符"/>
    <w:basedOn w:val="7"/>
    <w:link w:val="4"/>
    <w:qFormat/>
    <w:uiPriority w:val="0"/>
    <w:rPr>
      <w:rFonts w:ascii="Times New Roman" w:hAnsi="Times New Roman" w:eastAsia="宋体" w:cs="Times New Roman"/>
      <w:kern w:val="2"/>
      <w:sz w:val="18"/>
      <w:szCs w:val="18"/>
    </w:rPr>
  </w:style>
  <w:style w:type="paragraph" w:styleId="11">
    <w:name w:val="List Paragraph"/>
    <w:basedOn w:val="1"/>
    <w:unhideWhenUsed/>
    <w:qFormat/>
    <w:uiPriority w:val="99"/>
    <w:pPr>
      <w:ind w:firstLine="420" w:firstLineChars="200"/>
    </w:pPr>
  </w:style>
  <w:style w:type="character" w:customStyle="1" w:styleId="12">
    <w:name w:val="纯文本 字符"/>
    <w:basedOn w:val="7"/>
    <w:link w:val="3"/>
    <w:qFormat/>
    <w:uiPriority w:val="0"/>
    <w:rPr>
      <w:rFonts w:ascii="仿宋_GB2312" w:hAnsi="Times New Roman" w:eastAsia="宋体" w:cs="Times New Roman"/>
      <w:kern w:val="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2419</Words>
  <Characters>3677</Characters>
  <Lines>27</Lines>
  <Paragraphs>7</Paragraphs>
  <TotalTime>0</TotalTime>
  <ScaleCrop>false</ScaleCrop>
  <LinksUpToDate>false</LinksUpToDate>
  <CharactersWithSpaces>3918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2023-12-11T07:29:00Z</dcterms:created>
  <dc:creator>Lenovo</dc:creator>
  <cp:lastModifiedBy>借山而居</cp:lastModifiedBy>
  <dcterms:modified xsi:type="dcterms:W3CDTF">2024-01-08T06:49:08Z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4167A4805FBC400CB518BBD61A10A7DE_13</vt:lpwstr>
  </property>
</Properties>
</file>