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47A81">
      <w:pPr>
        <w:jc w:val="center"/>
        <w:rPr>
          <w:rStyle w:val="7"/>
          <w:rFonts w:ascii="方正小标宋简体" w:eastAsia="方正小标宋简体"/>
          <w:bCs w:val="0"/>
          <w:color w:val="000000"/>
          <w:sz w:val="36"/>
          <w:szCs w:val="36"/>
        </w:rPr>
      </w:pPr>
      <w:r>
        <w:rPr>
          <w:rStyle w:val="7"/>
          <w:rFonts w:hint="eastAsia" w:ascii="方正小标宋简体" w:eastAsia="方正小标宋简体"/>
          <w:b w:val="0"/>
          <w:color w:val="000000"/>
          <w:sz w:val="36"/>
          <w:szCs w:val="36"/>
        </w:rPr>
        <w:t>浙江省科学技术奖</w:t>
      </w:r>
      <w:r>
        <w:rPr>
          <w:rStyle w:val="7"/>
          <w:rFonts w:ascii="方正小标宋简体" w:eastAsia="方正小标宋简体"/>
          <w:b w:val="0"/>
          <w:color w:val="000000"/>
          <w:sz w:val="36"/>
          <w:szCs w:val="36"/>
        </w:rPr>
        <w:t>公示信息表</w:t>
      </w:r>
    </w:p>
    <w:p w14:paraId="515C667A">
      <w:pPr>
        <w:spacing w:line="440" w:lineRule="exact"/>
        <w:rPr>
          <w:rFonts w:hint="eastAsia"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338EB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2269" w:type="dxa"/>
            <w:vAlign w:val="center"/>
          </w:tcPr>
          <w:p w14:paraId="60D43853">
            <w:pPr>
              <w:jc w:val="center"/>
              <w:rPr>
                <w:rStyle w:val="7"/>
                <w:rFonts w:hint="eastAsia" w:ascii="仿宋_GB2312" w:hAnsi="仿宋" w:eastAsia="仿宋_GB2312" w:cs="仿宋"/>
                <w:b w:val="0"/>
                <w:color w:val="000000"/>
                <w:sz w:val="28"/>
              </w:rPr>
            </w:pPr>
            <w:r>
              <w:rPr>
                <w:rStyle w:val="7"/>
                <w:rFonts w:hint="eastAsia" w:ascii="仿宋_GB2312" w:hAnsi="仿宋" w:eastAsia="仿宋_GB2312" w:cs="仿宋"/>
                <w:b w:val="0"/>
                <w:bCs w:val="0"/>
                <w:color w:val="000000"/>
                <w:sz w:val="28"/>
              </w:rPr>
              <w:t>成果名称</w:t>
            </w:r>
          </w:p>
        </w:tc>
        <w:tc>
          <w:tcPr>
            <w:tcW w:w="6237" w:type="dxa"/>
            <w:vAlign w:val="center"/>
          </w:tcPr>
          <w:p w14:paraId="4881B878">
            <w:pPr>
              <w:jc w:val="center"/>
              <w:rPr>
                <w:rStyle w:val="7"/>
                <w:rFonts w:hint="eastAsia" w:ascii="仿宋_GB2312" w:hAnsi="仿宋" w:eastAsia="仿宋_GB2312" w:cs="仿宋"/>
                <w:b w:val="0"/>
                <w:color w:val="000000"/>
                <w:sz w:val="28"/>
              </w:rPr>
            </w:pPr>
            <w:bookmarkStart w:id="1" w:name="_GoBack"/>
            <w:r>
              <w:rPr>
                <w:rStyle w:val="7"/>
                <w:rFonts w:hint="eastAsia" w:ascii="仿宋_GB2312" w:hAnsi="仿宋" w:eastAsia="仿宋_GB2312" w:cs="仿宋"/>
                <w:b w:val="0"/>
                <w:bCs w:val="0"/>
                <w:color w:val="000000"/>
                <w:sz w:val="28"/>
                <w:lang w:eastAsia="zh-Hans"/>
              </w:rPr>
              <w:t>间歇生产过程迭代学习与预测性能优化控制理论</w:t>
            </w:r>
            <w:bookmarkEnd w:id="1"/>
          </w:p>
        </w:tc>
      </w:tr>
      <w:tr w14:paraId="4D932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053B5A82">
            <w:pPr>
              <w:jc w:val="center"/>
              <w:rPr>
                <w:rStyle w:val="7"/>
                <w:rFonts w:hint="eastAsia" w:ascii="仿宋_GB2312" w:hAnsi="仿宋" w:eastAsia="仿宋_GB2312" w:cs="仿宋"/>
                <w:b w:val="0"/>
                <w:color w:val="000000"/>
                <w:sz w:val="28"/>
              </w:rPr>
            </w:pPr>
            <w:r>
              <w:rPr>
                <w:rStyle w:val="7"/>
                <w:rFonts w:hint="eastAsia" w:ascii="仿宋_GB2312" w:hAnsi="仿宋" w:eastAsia="仿宋_GB2312" w:cs="仿宋"/>
                <w:b w:val="0"/>
                <w:bCs w:val="0"/>
                <w:color w:val="000000"/>
                <w:sz w:val="28"/>
              </w:rPr>
              <w:t>提名等级</w:t>
            </w:r>
          </w:p>
        </w:tc>
        <w:tc>
          <w:tcPr>
            <w:tcW w:w="6237" w:type="dxa"/>
            <w:vAlign w:val="center"/>
          </w:tcPr>
          <w:p w14:paraId="510BD264">
            <w:pPr>
              <w:jc w:val="center"/>
              <w:rPr>
                <w:rStyle w:val="7"/>
                <w:rFonts w:hint="eastAsia" w:ascii="仿宋_GB2312" w:hAnsi="仿宋" w:eastAsia="仿宋_GB2312" w:cs="仿宋"/>
                <w:b w:val="0"/>
                <w:color w:val="000000"/>
                <w:sz w:val="28"/>
              </w:rPr>
            </w:pPr>
            <w:r>
              <w:rPr>
                <w:rFonts w:hint="eastAsia" w:ascii="仿宋_GB2312" w:hAnsi="仿宋" w:eastAsia="仿宋_GB2312" w:cs="仿宋"/>
                <w:color w:val="000000" w:themeColor="text1"/>
                <w:sz w:val="28"/>
                <w:szCs w:val="24"/>
                <w14:textFill>
                  <w14:solidFill>
                    <w14:schemeClr w14:val="tx1"/>
                  </w14:solidFill>
                </w14:textFill>
              </w:rPr>
              <w:t>一</w:t>
            </w:r>
            <w:r>
              <w:rPr>
                <w:rFonts w:hint="eastAsia" w:ascii="仿宋_GB2312" w:hAnsi="仿宋" w:eastAsia="仿宋_GB2312" w:cs="仿宋"/>
                <w:color w:val="000000" w:themeColor="text1"/>
                <w:sz w:val="28"/>
                <w:szCs w:val="24"/>
                <w:lang w:eastAsia="zh-Hans"/>
                <w14:textFill>
                  <w14:solidFill>
                    <w14:schemeClr w14:val="tx1"/>
                  </w14:solidFill>
                </w14:textFill>
              </w:rPr>
              <w:t>等奖</w:t>
            </w:r>
          </w:p>
        </w:tc>
      </w:tr>
      <w:tr w14:paraId="0AF6C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2269" w:type="dxa"/>
            <w:vAlign w:val="center"/>
          </w:tcPr>
          <w:p w14:paraId="20CFDD16">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14:paraId="61616863">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6237" w:type="dxa"/>
            <w:vAlign w:val="center"/>
          </w:tcPr>
          <w:p w14:paraId="70EE7E2C">
            <w:p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eastAsia="zh-Hans"/>
                <w14:textFill>
                  <w14:solidFill>
                    <w14:schemeClr w14:val="tx1"/>
                  </w14:solidFill>
                </w14:textFill>
              </w:rPr>
              <w:t>代表性论文</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p>
          <w:p w14:paraId="086B4085">
            <w:pPr>
              <w:numPr>
                <w:ilvl w:val="0"/>
                <w:numId w:val="1"/>
              </w:num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张日东, 鲁仁全, 薛安克, 高福荣, </w:t>
            </w:r>
            <w:r>
              <w:fldChar w:fldCharType="begin"/>
            </w:r>
            <w:r>
              <w:instrText xml:space="preserve"> HYPERLINK "https://authorgateway.ieee.org/dc/Articleprogress?doi=10.1109/TAC.2015.2504181" </w:instrText>
            </w:r>
            <w:r>
              <w:fldChar w:fldCharType="separate"/>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New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m</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inmax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l</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inear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q</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uadratic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f</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ault-tolerant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t</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racking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c</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ontrol for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b</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atch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p</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rocesses</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fldChar w:fldCharType="end"/>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，IEEE Transactions on Automatic Control</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,2016,61: 3045-3051.</w:t>
            </w:r>
          </w:p>
          <w:p w14:paraId="1596DC66">
            <w:pPr>
              <w:numPr>
                <w:ilvl w:val="0"/>
                <w:numId w:val="1"/>
              </w:num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张日东, 吴胜, 曹志兴, 卢静宜, 高福荣,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A systematic min-max optimization design of constrained model predictive tracking control for industrial processes against uncertainty,</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IEEE Transactions on Control Systems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Technology</w:t>
            </w: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201</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8</w:t>
            </w: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2</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6</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6</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21</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57</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-2164.</w:t>
            </w:r>
          </w:p>
          <w:p w14:paraId="4E878635">
            <w:pPr>
              <w:numPr>
                <w:ilvl w:val="0"/>
                <w:numId w:val="1"/>
              </w:num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张日东, 卢静宜, 瞿弘毅,高福荣,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State space model predictive fault-tolerant control for batch processes with partial actuator failure</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Journal of Process Control, 2014,</w:t>
            </w: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24(5): 613-620.</w:t>
            </w:r>
          </w:p>
          <w:p w14:paraId="579203BA">
            <w:pPr>
              <w:numPr>
                <w:ilvl w:val="0"/>
                <w:numId w:val="1"/>
              </w:num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张日东,高福荣,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Two-dimensional Iterative Learning Model Predictive Control for Batch Processes: a New State Space Model Compensation Approach,</w:t>
            </w: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IEEE Transactions on Systems, Man, and Cybernetics: Systems,</w:t>
            </w: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2021, 5</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1(2):833</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841.</w:t>
            </w:r>
          </w:p>
          <w:p w14:paraId="5360ADF7">
            <w:pPr>
              <w:numPr>
                <w:ilvl w:val="0"/>
                <w:numId w:val="1"/>
              </w:num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王立敏, 于晶贤, 张日东, 李平, 高福荣,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Iterative learning control for multiphase batch processes with asynchronous switching,IEEE Transactions on Systems, Man and Cybernetics: Systems,</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2021,</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51(4):2536-2549.</w:t>
            </w:r>
          </w:p>
          <w:p w14:paraId="3EFEBFDC">
            <w:pPr>
              <w:numPr>
                <w:ilvl w:val="0"/>
                <w:numId w:val="1"/>
              </w:num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王立敏, 刘凡凡,于晶贤, 李平,张日东,高福荣, I</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terative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l</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earning</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fault-tolerant c</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ontrol</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for injection molding</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processes against a</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ctuator</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faults,</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Journal of Process Control,</w:t>
            </w: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2017, 59: 59-72.</w:t>
            </w:r>
          </w:p>
          <w:p w14:paraId="44FB7F23">
            <w:pPr>
              <w:numPr>
                <w:ilvl w:val="0"/>
                <w:numId w:val="1"/>
              </w:num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王立敏, 莫胜勇</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周东华</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高福荣</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陈曦, </w:t>
            </w:r>
            <w:bookmarkStart w:id="0" w:name="OLE_LINK21"/>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fldChar w:fldCharType="begin"/>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instrText xml:space="preserve">HYPERLINK "https://scholar.google.com/citations?view_op=view_citation&amp;hl=en&amp;user=qY5nEvIAAAAJ&amp;citation_for_view=qY5nEvIAAAAJ:d1gkVwhDpl0C"</w:instrTex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fldChar w:fldCharType="separate"/>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Delay-range-dependent robust 2D iterative learning control for batch processes with state delay and uncertainties</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fldChar w:fldCharType="end"/>
            </w:r>
            <w:bookmarkEnd w:id="0"/>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Journal of Process Control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2013，</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23 (5), 715-730</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p>
          <w:p w14:paraId="7B15B597">
            <w:pPr>
              <w:numPr>
                <w:ilvl w:val="0"/>
                <w:numId w:val="1"/>
              </w:numPr>
              <w:rPr>
                <w:rFonts w:ascii="Times New Roman Regular" w:hAnsi="Times New Roman Regular" w:eastAsia="仿宋_GB2312" w:cs="Times New Roman Regular"/>
                <w:bCs/>
                <w:color w:val="000000" w:themeColor="text1"/>
                <w:sz w:val="24"/>
                <w:szCs w:val="24"/>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王立敏,</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朱城杰</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于晶贤, 李平,张日东,高福荣, F</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uzzy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i</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terative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l</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earning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c</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ontrol for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b</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atch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p</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rocesses with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i</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nterval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t</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ime-varying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d</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elays</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Industrial &amp; Engineering Chemistry Research,2017,56(14): 3993-4001.</w:t>
            </w:r>
          </w:p>
          <w:p w14:paraId="0AE46BA7">
            <w:p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eastAsia="zh-Hans"/>
                <w14:textFill>
                  <w14:solidFill>
                    <w14:schemeClr w14:val="tx1"/>
                  </w14:solidFill>
                </w14:textFill>
              </w:rPr>
              <w:t>发明专利：</w:t>
            </w:r>
          </w:p>
          <w:p w14:paraId="78029AA4">
            <w:p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1.一种批次注塑过程的稳定控制器设计方法，</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 ZL</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201</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5</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10</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844709</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4。</w:t>
            </w:r>
          </w:p>
          <w:p w14:paraId="16F36F88">
            <w:p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2.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状态空间模型的批次过程无穷时域线性二次容错控制方法，ZL</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201410280250.</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5。</w:t>
            </w:r>
          </w:p>
          <w:p w14:paraId="140A61E4">
            <w:p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3.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一种批次过程二维模型预测控制方法， ZL20181010</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7795</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4</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p>
          <w:p w14:paraId="6D5A251E">
            <w:pP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pP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4.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一种基于系统增广模型的批次过程预测控制方法， ZL20181</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1135145.7</w:t>
            </w:r>
          </w:p>
          <w:p w14:paraId="364EE011">
            <w:pPr>
              <w:rPr>
                <w:rFonts w:hint="eastAsia" w:ascii="仿宋_GB2312" w:hAnsi="仿宋" w:eastAsia="仿宋_GB2312" w:cs="仿宋"/>
                <w:bCs/>
                <w:color w:val="000000" w:themeColor="text1"/>
                <w:sz w:val="24"/>
                <w:szCs w:val="24"/>
                <w:lang w:eastAsia="zh-Hans"/>
                <w14:textFill>
                  <w14:solidFill>
                    <w14:schemeClr w14:val="tx1"/>
                  </w14:solidFill>
                </w14:textFill>
              </w:rPr>
            </w:pP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5. </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 xml:space="preserve">一种批次注塑过程的滚动时域跟踪控制方法， ZL </w:t>
            </w:r>
            <w:r>
              <w:rPr>
                <w:rFonts w:ascii="Times New Roman Regular" w:hAnsi="Times New Roman Regular" w:eastAsia="仿宋_GB2312" w:cs="Times New Roman Regular"/>
                <w:bCs/>
                <w:color w:val="000000" w:themeColor="text1"/>
                <w:sz w:val="24"/>
                <w:szCs w:val="24"/>
                <w:lang w:eastAsia="zh-Hans"/>
                <w14:textFill>
                  <w14:solidFill>
                    <w14:schemeClr w14:val="tx1"/>
                  </w14:solidFill>
                </w14:textFill>
              </w:rPr>
              <w:t>201510848668.6</w:t>
            </w:r>
            <w:r>
              <w:rPr>
                <w:rFonts w:hint="eastAsia" w:ascii="Times New Roman Regular" w:hAnsi="Times New Roman Regular" w:eastAsia="仿宋_GB2312" w:cs="Times New Roman Regular"/>
                <w:bCs/>
                <w:color w:val="000000" w:themeColor="text1"/>
                <w:sz w:val="24"/>
                <w:szCs w:val="24"/>
                <w:lang w:eastAsia="zh-Hans"/>
                <w14:textFill>
                  <w14:solidFill>
                    <w14:schemeClr w14:val="tx1"/>
                  </w14:solidFill>
                </w14:textFill>
              </w:rPr>
              <w:t>。</w:t>
            </w:r>
          </w:p>
        </w:tc>
      </w:tr>
      <w:tr w14:paraId="1D7C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2269" w:type="dxa"/>
            <w:tcBorders>
              <w:right w:val="single" w:color="auto" w:sz="4" w:space="0"/>
            </w:tcBorders>
            <w:vAlign w:val="center"/>
          </w:tcPr>
          <w:p w14:paraId="379E9E8F">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6237" w:type="dxa"/>
            <w:tcBorders>
              <w:left w:val="single" w:color="auto" w:sz="4" w:space="0"/>
            </w:tcBorders>
            <w:vAlign w:val="center"/>
          </w:tcPr>
          <w:p w14:paraId="161E2052">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Hans"/>
                <w14:textFill>
                  <w14:solidFill>
                    <w14:schemeClr w14:val="tx1"/>
                  </w14:solidFill>
                </w14:textFill>
              </w:rPr>
              <w:t>张日东，排名1，研究员，杭州电子科技大学</w:t>
            </w:r>
          </w:p>
          <w:p w14:paraId="1CCA96F9">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Hans"/>
                <w14:textFill>
                  <w14:solidFill>
                    <w14:schemeClr w14:val="tx1"/>
                  </w14:solidFill>
                </w14:textFill>
              </w:rPr>
              <w:t>王立敏，排名2，教授，海南师范大学</w:t>
            </w:r>
          </w:p>
          <w:p w14:paraId="4E44E3C9">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周东华</w:t>
            </w:r>
            <w:r>
              <w:rPr>
                <w:rFonts w:hint="eastAsia" w:ascii="仿宋_GB2312" w:eastAsia="仿宋_GB2312"/>
                <w:color w:val="000000" w:themeColor="text1"/>
                <w:sz w:val="24"/>
                <w:szCs w:val="24"/>
                <w:lang w:eastAsia="zh-Hans"/>
                <w14:textFill>
                  <w14:solidFill>
                    <w14:schemeClr w14:val="tx1"/>
                  </w14:solidFill>
                </w14:textFill>
              </w:rPr>
              <w:t>，排名</w:t>
            </w: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lang w:eastAsia="zh-Hans"/>
                <w14:textFill>
                  <w14:solidFill>
                    <w14:schemeClr w14:val="tx1"/>
                  </w14:solidFill>
                </w14:textFill>
              </w:rPr>
              <w:t>，教授，清华大学</w:t>
            </w:r>
          </w:p>
          <w:p w14:paraId="772D3CA2">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高福荣，排名4，教授，广州市香港科大霍英东研究院</w:t>
            </w:r>
          </w:p>
        </w:tc>
      </w:tr>
      <w:tr w14:paraId="1D100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trPr>
        <w:tc>
          <w:tcPr>
            <w:tcW w:w="2269" w:type="dxa"/>
            <w:tcBorders>
              <w:right w:val="single" w:color="auto" w:sz="4" w:space="0"/>
            </w:tcBorders>
            <w:vAlign w:val="center"/>
          </w:tcPr>
          <w:p w14:paraId="3CB7490A">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主要完成单位</w:t>
            </w:r>
          </w:p>
        </w:tc>
        <w:tc>
          <w:tcPr>
            <w:tcW w:w="6237" w:type="dxa"/>
            <w:tcBorders>
              <w:left w:val="single" w:color="auto" w:sz="4" w:space="0"/>
            </w:tcBorders>
            <w:vAlign w:val="center"/>
          </w:tcPr>
          <w:p w14:paraId="39BC05C5">
            <w:pPr>
              <w:jc w:val="left"/>
              <w:rPr>
                <w:rFonts w:ascii="Times New Roman Regular" w:hAnsi="Times New Roman Regular" w:eastAsia="仿宋_GB2312" w:cs="Times New Roman Regular"/>
                <w:bCs/>
                <w:color w:val="000000" w:themeColor="text1"/>
                <w:sz w:val="24"/>
                <w:szCs w:val="24"/>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1. 杭州电子科技大学</w:t>
            </w:r>
          </w:p>
          <w:p w14:paraId="7D363187">
            <w:pPr>
              <w:jc w:val="left"/>
              <w:rPr>
                <w:rFonts w:ascii="Times New Roman Regular" w:hAnsi="Times New Roman Regular" w:eastAsia="仿宋_GB2312" w:cs="Times New Roman Regular"/>
                <w:bCs/>
                <w:color w:val="000000" w:themeColor="text1"/>
                <w:sz w:val="24"/>
                <w:szCs w:val="24"/>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2. </w:t>
            </w:r>
            <w:r>
              <w:rPr>
                <w:rFonts w:hint="eastAsia" w:ascii="仿宋_GB2312" w:eastAsia="仿宋_GB2312"/>
                <w:color w:val="000000" w:themeColor="text1"/>
                <w:sz w:val="24"/>
                <w:szCs w:val="24"/>
                <w:lang w:eastAsia="zh-Hans"/>
                <w14:textFill>
                  <w14:solidFill>
                    <w14:schemeClr w14:val="tx1"/>
                  </w14:solidFill>
                </w14:textFill>
              </w:rPr>
              <w:t>海南师范大学</w:t>
            </w:r>
          </w:p>
          <w:p w14:paraId="42300637">
            <w:pPr>
              <w:jc w:val="left"/>
              <w:rPr>
                <w:rFonts w:ascii="仿宋_GB2312" w:eastAsia="仿宋_GB2312"/>
                <w:color w:val="000000" w:themeColor="text1"/>
                <w:sz w:val="24"/>
                <w:szCs w:val="24"/>
                <w14:textFill>
                  <w14:solidFill>
                    <w14:schemeClr w14:val="tx1"/>
                  </w14:solidFill>
                </w14:textFill>
              </w:rPr>
            </w:pPr>
            <w:r>
              <w:rPr>
                <w:rFonts w:hint="eastAsia" w:ascii="Times New Roman Regular" w:hAnsi="Times New Roman Regular" w:eastAsia="仿宋_GB2312" w:cs="Times New Roman Regular"/>
                <w:bCs/>
                <w:color w:val="000000" w:themeColor="text1"/>
                <w:sz w:val="24"/>
                <w:szCs w:val="24"/>
                <w14:textFill>
                  <w14:solidFill>
                    <w14:schemeClr w14:val="tx1"/>
                  </w14:solidFill>
                </w14:textFill>
              </w:rPr>
              <w:t xml:space="preserve">3. </w:t>
            </w:r>
            <w:r>
              <w:rPr>
                <w:rFonts w:hint="eastAsia" w:ascii="仿宋_GB2312" w:eastAsia="仿宋_GB2312"/>
                <w:color w:val="000000" w:themeColor="text1"/>
                <w:sz w:val="24"/>
                <w:szCs w:val="24"/>
                <w:lang w:eastAsia="zh-Hans"/>
                <w14:textFill>
                  <w14:solidFill>
                    <w14:schemeClr w14:val="tx1"/>
                  </w14:solidFill>
                </w14:textFill>
              </w:rPr>
              <w:t>清华大学</w:t>
            </w:r>
          </w:p>
          <w:p w14:paraId="0392428E">
            <w:pPr>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 广州市香港科大霍英东研究院</w:t>
            </w:r>
          </w:p>
        </w:tc>
      </w:tr>
      <w:tr w14:paraId="3F3D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2269" w:type="dxa"/>
            <w:vAlign w:val="center"/>
          </w:tcPr>
          <w:p w14:paraId="0A867DFA">
            <w:pPr>
              <w:jc w:val="center"/>
              <w:rPr>
                <w:rStyle w:val="7"/>
                <w:rFonts w:ascii="仿宋_GB2312" w:eastAsia="仿宋_GB2312"/>
                <w:b w:val="0"/>
                <w:color w:val="000000"/>
                <w:sz w:val="28"/>
                <w:szCs w:val="28"/>
              </w:rPr>
            </w:pPr>
            <w:r>
              <w:rPr>
                <w:rStyle w:val="7"/>
                <w:rFonts w:hint="eastAsia" w:ascii="仿宋_GB2312" w:eastAsia="仿宋_GB2312"/>
                <w:b w:val="0"/>
                <w:color w:val="000000"/>
                <w:sz w:val="28"/>
                <w:szCs w:val="28"/>
              </w:rPr>
              <w:t>提名单位</w:t>
            </w:r>
          </w:p>
        </w:tc>
        <w:tc>
          <w:tcPr>
            <w:tcW w:w="6237" w:type="dxa"/>
            <w:vAlign w:val="center"/>
          </w:tcPr>
          <w:p w14:paraId="649B9205">
            <w:pPr>
              <w:contextualSpacing/>
              <w:jc w:val="center"/>
              <w:rPr>
                <w:rStyle w:val="7"/>
                <w:b w:val="0"/>
                <w:color w:val="000000"/>
                <w:lang w:eastAsia="zh-Hans"/>
              </w:rPr>
            </w:pPr>
            <w:r>
              <w:rPr>
                <w:rStyle w:val="7"/>
                <w:rFonts w:hint="eastAsia" w:ascii="仿宋_GB2312" w:eastAsia="仿宋_GB2312"/>
                <w:b w:val="0"/>
                <w:color w:val="000000"/>
                <w:sz w:val="28"/>
                <w:szCs w:val="28"/>
                <w:lang w:eastAsia="zh-Hans"/>
              </w:rPr>
              <w:t>浙江省教育厅</w:t>
            </w:r>
          </w:p>
        </w:tc>
      </w:tr>
      <w:tr w14:paraId="50CD6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atLeast"/>
        </w:trPr>
        <w:tc>
          <w:tcPr>
            <w:tcW w:w="2269" w:type="dxa"/>
            <w:vAlign w:val="center"/>
          </w:tcPr>
          <w:p w14:paraId="3EC14768">
            <w:pPr>
              <w:jc w:val="center"/>
              <w:rPr>
                <w:rStyle w:val="7"/>
                <w:rFonts w:ascii="仿宋_GB2312" w:eastAsia="仿宋_GB2312"/>
                <w:b w:val="0"/>
                <w:color w:val="000000"/>
                <w:sz w:val="28"/>
                <w:szCs w:val="28"/>
              </w:rPr>
            </w:pPr>
            <w:r>
              <w:rPr>
                <w:rStyle w:val="7"/>
                <w:rFonts w:hint="eastAsia" w:ascii="仿宋_GB2312" w:eastAsia="仿宋_GB2312"/>
                <w:b w:val="0"/>
                <w:color w:val="000000"/>
                <w:sz w:val="28"/>
                <w:szCs w:val="28"/>
              </w:rPr>
              <w:t>提名意见</w:t>
            </w:r>
          </w:p>
        </w:tc>
        <w:tc>
          <w:tcPr>
            <w:tcW w:w="6237" w:type="dxa"/>
            <w:vAlign w:val="center"/>
          </w:tcPr>
          <w:p w14:paraId="49F35FAC">
            <w:pPr>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项目主要完成人针对我国在工业人工智能领域的间歇生产过程精确稳定运行迫切需求，围绕间歇生产过程优化控制面临的间歇过程模型刻画难、传统迭代学习控制精确度低以及时滞补偿效果弱的核心问题 ，深入开展了迭代学习与预测性能优化控制理论与方法研究，取得了一系列创新研究成果：1）提出了</w:t>
            </w:r>
            <w:r>
              <w:rPr>
                <w:rFonts w:ascii="仿宋_GB2312" w:hAnsi="宋体" w:eastAsia="仿宋_GB2312"/>
                <w:color w:val="000000" w:themeColor="text1"/>
                <w:sz w:val="24"/>
                <w14:textFill>
                  <w14:solidFill>
                    <w14:schemeClr w14:val="tx1"/>
                  </w14:solidFill>
                </w14:textFill>
              </w:rPr>
              <w:t>基于新型扩展状态模型的先进优化控制</w:t>
            </w:r>
            <w:r>
              <w:rPr>
                <w:rFonts w:hint="eastAsia" w:ascii="仿宋_GB2312" w:hAnsi="宋体" w:eastAsia="仿宋_GB2312"/>
                <w:color w:val="000000" w:themeColor="text1"/>
                <w:sz w:val="24"/>
                <w14:textFill>
                  <w14:solidFill>
                    <w14:schemeClr w14:val="tx1"/>
                  </w14:solidFill>
                </w14:textFill>
              </w:rPr>
              <w:t>方法，给出了新型</w:t>
            </w:r>
            <w:r>
              <w:rPr>
                <w:rFonts w:ascii="仿宋_GB2312" w:hAnsi="宋体" w:eastAsia="仿宋_GB2312"/>
                <w:color w:val="000000" w:themeColor="text1"/>
                <w:sz w:val="24"/>
                <w14:textFill>
                  <w14:solidFill>
                    <w14:schemeClr w14:val="tx1"/>
                  </w14:solidFill>
                </w14:textFill>
              </w:rPr>
              <w:t>预测控制结构和优化控制</w:t>
            </w:r>
            <w:r>
              <w:rPr>
                <w:rFonts w:hint="eastAsia" w:ascii="仿宋_GB2312" w:hAnsi="宋体" w:eastAsia="仿宋_GB2312"/>
                <w:color w:val="000000" w:themeColor="text1"/>
                <w:sz w:val="24"/>
                <w14:textFill>
                  <w14:solidFill>
                    <w14:schemeClr w14:val="tx1"/>
                  </w14:solidFill>
                </w14:textFill>
              </w:rPr>
              <w:t>理论，解决了间歇生产过程控制性能多自由度协调的问题；2）提出了新型二维迭代学习控制及模型补偿策略，解决了时间维度和批次维度下的过程控制性能提升问题，显著改善了控制精确性和鲁棒性；3）提出新的</w:t>
            </w:r>
            <w:r>
              <w:rPr>
                <w:rFonts w:ascii="仿宋_GB2312" w:hAnsi="宋体" w:eastAsia="仿宋_GB2312"/>
                <w:color w:val="000000" w:themeColor="text1"/>
                <w:sz w:val="24"/>
                <w14:textFill>
                  <w14:solidFill>
                    <w14:schemeClr w14:val="tx1"/>
                  </w14:solidFill>
                </w14:textFill>
              </w:rPr>
              <w:t>依赖于时滞区间上下界的时滞补偿优化控制方法</w:t>
            </w:r>
            <w:r>
              <w:rPr>
                <w:rFonts w:hint="eastAsia" w:ascii="仿宋_GB2312" w:hAnsi="宋体" w:eastAsia="仿宋_GB2312"/>
                <w:color w:val="000000" w:themeColor="text1"/>
                <w:sz w:val="24"/>
                <w14:textFill>
                  <w14:solidFill>
                    <w14:schemeClr w14:val="tx1"/>
                  </w14:solidFill>
                </w14:textFill>
              </w:rPr>
              <w:t>，解决了</w:t>
            </w:r>
            <w:r>
              <w:rPr>
                <w:rFonts w:ascii="仿宋_GB2312" w:hAnsi="宋体" w:eastAsia="仿宋_GB2312"/>
                <w:color w:val="000000" w:themeColor="text1"/>
                <w:sz w:val="24"/>
                <w14:textFill>
                  <w14:solidFill>
                    <w14:schemeClr w14:val="tx1"/>
                  </w14:solidFill>
                </w14:textFill>
              </w:rPr>
              <w:t>具有时变时滞与不确定性间歇过程控制难题</w:t>
            </w:r>
            <w:r>
              <w:rPr>
                <w:rFonts w:hint="eastAsia" w:ascii="仿宋_GB2312" w:hAnsi="宋体" w:eastAsia="仿宋_GB2312"/>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建立了新的基于延迟区间的稳定性理论和稳定条件</w:t>
            </w:r>
            <w:r>
              <w:rPr>
                <w:rFonts w:hint="eastAsia" w:ascii="仿宋_GB2312" w:hAnsi="宋体" w:eastAsia="仿宋_GB2312"/>
                <w:color w:val="000000" w:themeColor="text1"/>
                <w:sz w:val="24"/>
                <w14:textFill>
                  <w14:solidFill>
                    <w14:schemeClr w14:val="tx1"/>
                  </w14:solidFill>
                </w14:textFill>
              </w:rPr>
              <w:t>。本项目理论创新强并具有重要的应用价值，相关研究成果产生了重要的国际学术影响。</w:t>
            </w:r>
          </w:p>
          <w:p w14:paraId="5C6CB0F4">
            <w:pPr>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经认真审阅，该项目的提名材料符合填写要求。提名该成果为2024年度浙江省自然科学奖一等奖。</w:t>
            </w:r>
          </w:p>
        </w:tc>
      </w:tr>
    </w:tbl>
    <w:p w14:paraId="436B44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8C2F6"/>
    <w:multiLevelType w:val="singleLevel"/>
    <w:tmpl w:val="5F68C2F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F4"/>
    <w:rsid w:val="00004637"/>
    <w:rsid w:val="000205CB"/>
    <w:rsid w:val="000222D0"/>
    <w:rsid w:val="00031BE2"/>
    <w:rsid w:val="00060A4B"/>
    <w:rsid w:val="000918E6"/>
    <w:rsid w:val="000D4C65"/>
    <w:rsid w:val="000F41D8"/>
    <w:rsid w:val="001137FD"/>
    <w:rsid w:val="00123F11"/>
    <w:rsid w:val="001355B5"/>
    <w:rsid w:val="00172A27"/>
    <w:rsid w:val="00185305"/>
    <w:rsid w:val="0020553D"/>
    <w:rsid w:val="00213BE3"/>
    <w:rsid w:val="0022150E"/>
    <w:rsid w:val="00253339"/>
    <w:rsid w:val="002A7D77"/>
    <w:rsid w:val="00361E6E"/>
    <w:rsid w:val="00385FB9"/>
    <w:rsid w:val="00427780"/>
    <w:rsid w:val="00437207"/>
    <w:rsid w:val="00445CF3"/>
    <w:rsid w:val="00490F75"/>
    <w:rsid w:val="004A2BED"/>
    <w:rsid w:val="004B1D06"/>
    <w:rsid w:val="004C7E55"/>
    <w:rsid w:val="004E1FEA"/>
    <w:rsid w:val="004F0E16"/>
    <w:rsid w:val="00503AC1"/>
    <w:rsid w:val="005934B0"/>
    <w:rsid w:val="005B3921"/>
    <w:rsid w:val="005C2EF4"/>
    <w:rsid w:val="005F03C7"/>
    <w:rsid w:val="006570E3"/>
    <w:rsid w:val="00745379"/>
    <w:rsid w:val="007962BC"/>
    <w:rsid w:val="008707D3"/>
    <w:rsid w:val="008C5AD0"/>
    <w:rsid w:val="0095729E"/>
    <w:rsid w:val="00961FE8"/>
    <w:rsid w:val="009A2680"/>
    <w:rsid w:val="009A6898"/>
    <w:rsid w:val="00A037CD"/>
    <w:rsid w:val="00A11E0D"/>
    <w:rsid w:val="00A1457F"/>
    <w:rsid w:val="00A150BE"/>
    <w:rsid w:val="00A24D6C"/>
    <w:rsid w:val="00A3794C"/>
    <w:rsid w:val="00A52DA5"/>
    <w:rsid w:val="00A95DAE"/>
    <w:rsid w:val="00AD6A04"/>
    <w:rsid w:val="00B26D63"/>
    <w:rsid w:val="00B3058D"/>
    <w:rsid w:val="00B31E46"/>
    <w:rsid w:val="00B74FDA"/>
    <w:rsid w:val="00B76253"/>
    <w:rsid w:val="00B9320B"/>
    <w:rsid w:val="00BB2671"/>
    <w:rsid w:val="00BD11AB"/>
    <w:rsid w:val="00BF1013"/>
    <w:rsid w:val="00C7494A"/>
    <w:rsid w:val="00CC2235"/>
    <w:rsid w:val="00CC39A5"/>
    <w:rsid w:val="00D15138"/>
    <w:rsid w:val="00D156CD"/>
    <w:rsid w:val="00D269EC"/>
    <w:rsid w:val="00D714D0"/>
    <w:rsid w:val="00D85BC2"/>
    <w:rsid w:val="00DC4D7B"/>
    <w:rsid w:val="00DF6882"/>
    <w:rsid w:val="00E354B4"/>
    <w:rsid w:val="00E52A1A"/>
    <w:rsid w:val="00ED0261"/>
    <w:rsid w:val="00F042BB"/>
    <w:rsid w:val="00F152F6"/>
    <w:rsid w:val="00F33811"/>
    <w:rsid w:val="00F41AD1"/>
    <w:rsid w:val="00F42B92"/>
    <w:rsid w:val="00F70D7F"/>
    <w:rsid w:val="00F72299"/>
    <w:rsid w:val="00F930EC"/>
    <w:rsid w:val="00FD4EEA"/>
    <w:rsid w:val="17F783FC"/>
    <w:rsid w:val="1AFFB4FC"/>
    <w:rsid w:val="1C043FEF"/>
    <w:rsid w:val="4FBA4F45"/>
    <w:rsid w:val="5AAC4552"/>
    <w:rsid w:val="6AFFEEE2"/>
    <w:rsid w:val="6EFBFF52"/>
    <w:rsid w:val="777D88C1"/>
    <w:rsid w:val="7B3F1BCC"/>
    <w:rsid w:val="7CBFF1B7"/>
    <w:rsid w:val="7F9FDEB9"/>
    <w:rsid w:val="7FFD0793"/>
    <w:rsid w:val="87FC36A1"/>
    <w:rsid w:val="8F3E32AB"/>
    <w:rsid w:val="BF3D2427"/>
    <w:rsid w:val="C7FBB080"/>
    <w:rsid w:val="CF7F92FB"/>
    <w:rsid w:val="DB4D20A2"/>
    <w:rsid w:val="DDDF2F6A"/>
    <w:rsid w:val="DECF8593"/>
    <w:rsid w:val="FBBF891F"/>
    <w:rsid w:val="FDF1BB87"/>
    <w:rsid w:val="FEAF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title1"/>
    <w:qFormat/>
    <w:uiPriority w:val="0"/>
    <w:rPr>
      <w:b/>
      <w:bCs/>
      <w:color w:val="999900"/>
      <w:sz w:val="24"/>
      <w:szCs w:val="24"/>
    </w:rPr>
  </w:style>
  <w:style w:type="paragraph" w:customStyle="1" w:styleId="8">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9">
    <w:name w:val="页眉 字符"/>
    <w:basedOn w:val="5"/>
    <w:link w:val="3"/>
    <w:uiPriority w:val="0"/>
    <w:rPr>
      <w:kern w:val="2"/>
      <w:sz w:val="18"/>
      <w:szCs w:val="18"/>
    </w:rPr>
  </w:style>
  <w:style w:type="character" w:customStyle="1" w:styleId="10">
    <w:name w:val="页脚 字符"/>
    <w:basedOn w:val="5"/>
    <w:link w:val="2"/>
    <w:uiPriority w:val="0"/>
    <w:rPr>
      <w:kern w:val="2"/>
      <w:sz w:val="18"/>
      <w:szCs w:val="18"/>
    </w:rPr>
  </w:style>
  <w:style w:type="character" w:customStyle="1" w:styleId="11">
    <w:name w:val="fontstyle01"/>
    <w:uiPriority w:val="0"/>
    <w:rPr>
      <w:rFonts w:hint="eastAsia" w:ascii="黑体" w:hAnsi="黑体" w:eastAsia="黑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1049</Words>
  <Characters>2154</Characters>
  <Lines>18</Lines>
  <Paragraphs>5</Paragraphs>
  <TotalTime>205</TotalTime>
  <ScaleCrop>false</ScaleCrop>
  <LinksUpToDate>false</LinksUpToDate>
  <CharactersWithSpaces>2351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2020-09-23T10:58:00Z</dcterms:created>
  <dc:creator>hanzhimin</dc:creator>
  <cp:lastModifiedBy>借山而居</cp:lastModifiedBy>
  <dcterms:modified xsi:type="dcterms:W3CDTF">2025-09-12T12:33:54Z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1B600BF03F0646D8AB29CB35D6EF7236_12</vt:lpwstr>
  </property>
</Properties>
</file>